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rPr>
          <w:rFonts w:ascii="黑体" w:hAnsi="黑体" w:eastAsia="黑体" w:cs="黑体"/>
          <w:position w:val="30"/>
          <w:sz w:val="42"/>
        </w:rPr>
      </w:pPr>
      <w:r>
        <w:rPr>
          <w:rFonts w:ascii="黑体" w:hAnsi="黑体" w:eastAsia="黑体" w:cs="黑体"/>
          <w:position w:val="30"/>
          <w:sz w:val="42"/>
        </w:rPr>
        <w:br w:type="textWrapping"/>
      </w:r>
    </w:p>
    <w:p>
      <w:pPr>
        <w:ind w:left="200" w:right="200"/>
        <w:jc w:val="center"/>
        <w:rPr>
          <w:rFonts w:ascii="黑体" w:hAnsi="黑体" w:eastAsia="黑体" w:cs="黑体"/>
          <w:position w:val="30"/>
          <w:sz w:val="42"/>
        </w:rPr>
      </w:pPr>
    </w:p>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t>皮山县藏桂乡卫生院</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rPr>
          <w:highlight w:val="none"/>
        </w:rPr>
      </w:pPr>
      <w:r>
        <w:rPr>
          <w:rFonts w:ascii="黑体" w:hAnsi="黑体" w:eastAsia="黑体" w:cs="黑体"/>
          <w:position w:val="30"/>
          <w:sz w:val="42"/>
          <w:highlight w:val="none"/>
        </w:rPr>
        <w:t>目录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黑体" w:hAnsi="黑体" w:eastAsia="黑体" w:cs="黑体"/>
          <w:position w:val="15"/>
          <w:sz w:val="32"/>
          <w:szCs w:val="32"/>
          <w:highlight w:val="none"/>
        </w:rPr>
        <w:t>第一部分</w:t>
      </w:r>
      <w:r>
        <w:rPr>
          <w:rFonts w:hint="eastAsia" w:ascii="黑体" w:hAnsi="黑体" w:eastAsia="黑体" w:cs="黑体"/>
          <w:position w:val="15"/>
          <w:sz w:val="32"/>
          <w:szCs w:val="32"/>
          <w:highlight w:val="none"/>
          <w:lang w:val="en-US" w:eastAsia="zh-CN"/>
        </w:rPr>
        <w:t>2023年部门</w:t>
      </w:r>
      <w:r>
        <w:rPr>
          <w:rFonts w:ascii="黑体" w:hAnsi="黑体" w:eastAsia="黑体" w:cs="黑体"/>
          <w:position w:val="15"/>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黑体" w:hAnsi="黑体" w:eastAsia="黑体" w:cs="黑体"/>
          <w:position w:val="15"/>
          <w:sz w:val="32"/>
          <w:szCs w:val="32"/>
          <w:highlight w:val="none"/>
        </w:rPr>
        <w:t>第二部分2023年</w:t>
      </w:r>
      <w:r>
        <w:rPr>
          <w:rFonts w:hint="eastAsia" w:ascii="黑体" w:hAnsi="黑体" w:eastAsia="黑体" w:cs="黑体"/>
          <w:position w:val="15"/>
          <w:sz w:val="32"/>
          <w:szCs w:val="32"/>
          <w:highlight w:val="none"/>
          <w:lang w:val="en-US" w:eastAsia="zh-CN"/>
        </w:rPr>
        <w:t>部门</w:t>
      </w:r>
      <w:r>
        <w:rPr>
          <w:rFonts w:ascii="黑体" w:hAnsi="黑体" w:eastAsia="黑体" w:cs="黑体"/>
          <w:position w:val="15"/>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一、</w:t>
      </w:r>
      <w:r>
        <w:rPr>
          <w:rFonts w:hint="eastAsia" w:ascii="仿宋" w:hAnsi="仿宋" w:eastAsia="仿宋" w:cs="仿宋"/>
          <w:position w:val="10"/>
          <w:sz w:val="32"/>
          <w:szCs w:val="32"/>
          <w:highlight w:val="none"/>
          <w:lang w:val="en-US" w:eastAsia="zh-CN"/>
        </w:rPr>
        <w:t>部门</w:t>
      </w:r>
      <w:r>
        <w:rPr>
          <w:rFonts w:ascii="仿宋" w:hAnsi="仿宋" w:eastAsia="仿宋" w:cs="仿宋"/>
          <w:position w:val="1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二、</w:t>
      </w:r>
      <w:r>
        <w:rPr>
          <w:rFonts w:hint="eastAsia" w:ascii="仿宋" w:hAnsi="仿宋" w:eastAsia="仿宋" w:cs="仿宋"/>
          <w:position w:val="10"/>
          <w:sz w:val="32"/>
          <w:szCs w:val="32"/>
          <w:highlight w:val="none"/>
          <w:lang w:val="en-US" w:eastAsia="zh-CN"/>
        </w:rPr>
        <w:t>部门</w:t>
      </w:r>
      <w:r>
        <w:rPr>
          <w:rFonts w:ascii="仿宋" w:hAnsi="仿宋" w:eastAsia="仿宋" w:cs="仿宋"/>
          <w:position w:val="1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三、</w:t>
      </w:r>
      <w:r>
        <w:rPr>
          <w:rFonts w:hint="eastAsia" w:ascii="仿宋" w:hAnsi="仿宋" w:eastAsia="仿宋" w:cs="仿宋"/>
          <w:position w:val="10"/>
          <w:sz w:val="32"/>
          <w:szCs w:val="32"/>
          <w:highlight w:val="none"/>
          <w:lang w:val="en-US" w:eastAsia="zh-CN"/>
        </w:rPr>
        <w:t>部门</w:t>
      </w:r>
      <w:r>
        <w:rPr>
          <w:rFonts w:ascii="仿宋" w:hAnsi="仿宋" w:eastAsia="仿宋" w:cs="仿宋"/>
          <w:position w:val="1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highlight w:val="none"/>
        </w:rPr>
      </w:pPr>
      <w:r>
        <w:rPr>
          <w:rFonts w:ascii="黑体" w:hAnsi="黑体" w:eastAsia="黑体" w:cs="黑体"/>
          <w:position w:val="15"/>
          <w:sz w:val="32"/>
          <w:szCs w:val="32"/>
          <w:highlight w:val="none"/>
        </w:rPr>
        <w:t>第三部分2023年皮山县藏桂乡卫生院预算情况说明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一、关于皮山县藏桂乡卫生院2023年收支预算情况的总体说明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二、关于皮山县藏桂乡卫生院2023年收入预算情况说明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三、关于皮山县藏桂乡卫生院2023年支出预算情况说明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四、关于皮山县藏桂乡卫生院2023年财政拨款收支预算情况的总体说明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五、关于皮山县藏桂乡卫生院2023年一般公共预算当年拨款情况说明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六、关于皮山县藏桂乡卫生院2023年一般公共预算基本支出情况说明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七、关于皮山县藏桂乡卫生院2023年一般公共预算项目支出情况说明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八、关于皮山县藏桂乡卫生院2023年政府性基金预算拨款情况说明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九、关于皮山县藏桂乡卫生院2023年国有资本经营预算拨款情况说明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十、关于皮山县藏桂乡卫生院2023年财政拨款“三公”经费预算情况说明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黑体" w:hAnsi="黑体" w:eastAsia="黑体" w:cs="黑体"/>
          <w:position w:val="15"/>
          <w:sz w:val="32"/>
          <w:szCs w:val="32"/>
        </w:rPr>
        <w:t>第四部分名词解释</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第一部分</w:t>
      </w:r>
      <w:r>
        <w:rPr>
          <w:rFonts w:hint="eastAsia" w:ascii="黑体" w:hAnsi="黑体" w:eastAsia="黑体" w:cs="黑体"/>
          <w:position w:val="30"/>
          <w:sz w:val="42"/>
          <w:lang w:val="en-US" w:eastAsia="zh-CN"/>
        </w:rPr>
        <w:t>2023年部门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640" w:firstLineChars="200"/>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hint="eastAsia" w:ascii="仿宋" w:hAnsi="仿宋" w:eastAsia="仿宋" w:cs="仿宋"/>
          <w:position w:val="10"/>
          <w:sz w:val="32"/>
          <w:szCs w:val="32"/>
          <w:lang w:val="en-US" w:eastAsia="zh-CN"/>
        </w:rPr>
        <w:t>贯彻</w:t>
      </w:r>
      <w:r>
        <w:rPr>
          <w:rFonts w:ascii="仿宋" w:hAnsi="仿宋" w:eastAsia="仿宋" w:cs="仿宋"/>
          <w:position w:val="10"/>
          <w:sz w:val="32"/>
          <w:szCs w:val="32"/>
        </w:rPr>
        <w:t>落实好自治区及地区的对医疗工作的安排</w:t>
      </w:r>
      <w:r>
        <w:rPr>
          <w:rFonts w:hint="eastAsia" w:ascii="仿宋" w:hAnsi="仿宋" w:eastAsia="仿宋" w:cs="仿宋"/>
          <w:position w:val="10"/>
          <w:sz w:val="32"/>
          <w:szCs w:val="32"/>
          <w:lang w:eastAsia="zh-CN"/>
        </w:rPr>
        <w:t>部署</w:t>
      </w:r>
      <w:r>
        <w:rPr>
          <w:rFonts w:ascii="仿宋" w:hAnsi="仿宋" w:eastAsia="仿宋" w:cs="仿宋"/>
          <w:position w:val="10"/>
          <w:sz w:val="32"/>
          <w:szCs w:val="32"/>
        </w:rPr>
        <w:t>，提升疾病能力，</w:t>
      </w:r>
      <w:r>
        <w:rPr>
          <w:rFonts w:hint="eastAsia" w:ascii="仿宋" w:hAnsi="仿宋" w:eastAsia="仿宋" w:cs="仿宋"/>
          <w:position w:val="10"/>
          <w:sz w:val="32"/>
          <w:szCs w:val="32"/>
          <w:lang w:eastAsia="zh-CN"/>
        </w:rPr>
        <w:t>加大</w:t>
      </w:r>
      <w:r>
        <w:rPr>
          <w:rFonts w:ascii="仿宋" w:hAnsi="仿宋" w:eastAsia="仿宋" w:cs="仿宋"/>
          <w:position w:val="10"/>
          <w:sz w:val="32"/>
          <w:szCs w:val="32"/>
        </w:rPr>
        <w:t>健康教育宣传力度，</w:t>
      </w:r>
      <w:r>
        <w:rPr>
          <w:rFonts w:hint="eastAsia" w:ascii="仿宋" w:hAnsi="仿宋" w:eastAsia="仿宋" w:cs="仿宋"/>
          <w:position w:val="10"/>
          <w:sz w:val="32"/>
          <w:szCs w:val="32"/>
          <w:lang w:eastAsia="zh-CN"/>
        </w:rPr>
        <w:t>增强</w:t>
      </w:r>
      <w:r>
        <w:rPr>
          <w:rFonts w:ascii="仿宋" w:hAnsi="仿宋" w:eastAsia="仿宋" w:cs="仿宋"/>
          <w:position w:val="10"/>
          <w:sz w:val="32"/>
          <w:szCs w:val="32"/>
        </w:rPr>
        <w:t>广大人民群众的防病意识，完成自治区及地区下发疾病预防，基本公共卫生，基本医疗任务的各项指标，强化疫情监测和报告工作，规范各项规范工作，加强传染病的检测预警能力及人才队伍的建设。</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640" w:firstLineChars="2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皮山县藏桂乡卫生院无下属</w:t>
      </w:r>
      <w:r>
        <w:rPr>
          <w:rFonts w:hint="eastAsia" w:ascii="仿宋" w:hAnsi="仿宋" w:eastAsia="仿宋" w:cs="仿宋"/>
          <w:position w:val="10"/>
          <w:sz w:val="32"/>
          <w:szCs w:val="32"/>
          <w:lang w:eastAsia="zh-CN"/>
        </w:rPr>
        <w:t>预算部门</w:t>
      </w:r>
      <w:r>
        <w:rPr>
          <w:rFonts w:ascii="仿宋" w:hAnsi="仿宋" w:eastAsia="仿宋" w:cs="仿宋"/>
          <w:position w:val="10"/>
          <w:sz w:val="32"/>
          <w:szCs w:val="32"/>
        </w:rPr>
        <w:t>，下设5个科室，分别是：住院部、门诊、公共卫生科、妇保科、全民体检中心。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皮山县藏桂乡卫生院单位编制数30，实有人数30人，其中：在职23人，增加0人；退休7人，增加0人；离休0人，增加0人。</w:t>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第二部分2023年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：皮山县藏桂乡卫生院</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1275.62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725.62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423.39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302.23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1283.01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1345.65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1345.65</w:t>
            </w:r>
          </w:p>
        </w:tc>
      </w:tr>
    </w:tbl>
    <w:p>
      <w:pPr>
        <w:rPr>
          <w:rFonts w:ascii="仿宋" w:hAnsi="仿宋" w:eastAsia="仿宋" w:cs="仿宋"/>
          <w:position w:val="8"/>
          <w:sz w:val="20"/>
        </w:rPr>
      </w:pPr>
      <w:r>
        <w:br w:type="textWrapping"/>
      </w:r>
      <w:r>
        <w:rPr>
          <w:rFonts w:ascii="仿宋" w:hAnsi="仿宋" w:eastAsia="仿宋" w:cs="仿宋"/>
          <w:position w:val="8"/>
          <w:sz w:val="20"/>
        </w:rPr>
        <w:br w:type="page"/>
      </w:r>
    </w:p>
    <w:tbl>
      <w:tblPr>
        <w:tblStyle w:val="3"/>
        <w:tblW w:w="10501" w:type="dxa"/>
        <w:tblInd w:w="-83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84"/>
        <w:gridCol w:w="357"/>
        <w:gridCol w:w="251"/>
        <w:gridCol w:w="251"/>
        <w:gridCol w:w="766"/>
        <w:gridCol w:w="601"/>
        <w:gridCol w:w="695"/>
        <w:gridCol w:w="601"/>
        <w:gridCol w:w="813"/>
        <w:gridCol w:w="377"/>
        <w:gridCol w:w="542"/>
        <w:gridCol w:w="401"/>
        <w:gridCol w:w="613"/>
        <w:gridCol w:w="624"/>
        <w:gridCol w:w="554"/>
        <w:gridCol w:w="530"/>
        <w:gridCol w:w="424"/>
        <w:gridCol w:w="12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Height w:val="248" w:hRule="atLeast"/>
        </w:trPr>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6892"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w:t>
            </w:r>
            <w:r>
              <w:rPr>
                <w:rFonts w:hint="eastAsia" w:ascii="仿宋" w:hAnsi="仿宋" w:eastAsia="仿宋" w:cs="仿宋"/>
                <w:position w:val="8"/>
                <w:sz w:val="20"/>
                <w:lang w:val="en-US" w:eastAsia="zh-CN"/>
              </w:rPr>
              <w:t>藏桂乡</w:t>
            </w:r>
            <w:r>
              <w:rPr>
                <w:rFonts w:ascii="仿宋" w:hAnsi="仿宋" w:eastAsia="仿宋" w:cs="仿宋"/>
                <w:position w:val="8"/>
                <w:sz w:val="20"/>
              </w:rPr>
              <w:t>卫生院</w:t>
            </w:r>
          </w:p>
        </w:tc>
        <w:tc>
          <w:tcPr>
            <w:tcW w:w="150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85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76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404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55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53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66" w:type="dxa"/>
            <w:vMerge w:val="continue"/>
          </w:tcPr>
          <w:p/>
        </w:tc>
        <w:tc>
          <w:tcPr>
            <w:tcW w:w="601" w:type="dxa"/>
            <w:vMerge w:val="continue"/>
          </w:tcP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24" w:type="dxa"/>
            <w:vMerge w:val="continue"/>
          </w:tcPr>
          <w:p/>
        </w:tc>
        <w:tc>
          <w:tcPr>
            <w:tcW w:w="554" w:type="dxa"/>
            <w:vMerge w:val="continue"/>
          </w:tcPr>
          <w:p/>
        </w:tc>
        <w:tc>
          <w:tcPr>
            <w:tcW w:w="530" w:type="dxa"/>
            <w:vMerge w:val="continue"/>
          </w:tcPr>
          <w:p/>
        </w:tc>
        <w:tc>
          <w:tcPr>
            <w:tcW w:w="42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59.65</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59.65</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59.65</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59.65</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59.65</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59.65</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39.77</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39.77</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39.77</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19.88</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19.88</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19.88</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1256.32</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607.58</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351.2</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256.38</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48.74</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28.51</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28.51</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28.51</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28.51</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28.51</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28.51</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986.07</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370.96</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351.2</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19.76</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15.11</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959.91</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351.2</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351.2</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8.71</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26.16</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19.76</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19.76</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231.74</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208.11</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208.11</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135.64</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127.1</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127.1</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8.54</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3.41</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90.14</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78.46</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78.46</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11.68</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中医药</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中医（民族医）药专项</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Before w:val="1"/>
          <w:gridAfter w:val="1"/>
          <w:wBefore w:w="884" w:type="dxa"/>
          <w:wAfter w:w="1217" w:type="dxa"/>
        </w:trPr>
        <w:tc>
          <w:tcPr>
            <w:tcW w:w="35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1315.97</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667.23</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410.85</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256.38</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48.74</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1" w:type="dxa"/>
            <w:gridSpan w:val="18"/>
            <w:tcBorders>
              <w:top w:val="nil"/>
              <w:left w:val="nil"/>
              <w:bottom w:val="nil"/>
              <w:right w:val="nil"/>
            </w:tcBorders>
            <w:vAlign w:val="center"/>
          </w:tcPr>
          <w:p>
            <w:pPr>
              <w:ind w:left="150"/>
              <w:jc w:val="left"/>
            </w:pPr>
          </w:p>
        </w:tc>
      </w:tr>
    </w:tbl>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93"/>
        <w:gridCol w:w="468"/>
        <w:gridCol w:w="619"/>
        <w:gridCol w:w="2520"/>
        <w:gridCol w:w="84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：皮山县藏桂乡卫生院</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4" w:hRule="atLeast"/>
        </w:trPr>
        <w:tc>
          <w:tcPr>
            <w:tcW w:w="5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2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0" w:hRule="atLeast"/>
        </w:trPr>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1283.01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360.75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969.01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360.75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935.19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360.75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574.44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33.82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33.82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284.62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284.62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158.46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158.46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122.49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1345.65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423.39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922.26</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905"/>
        <w:gridCol w:w="2095"/>
        <w:gridCol w:w="845"/>
        <w:gridCol w:w="955"/>
        <w:gridCol w:w="1126"/>
        <w:gridCol w:w="127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：皮山县藏桂乡卫生院</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725.62</w:t>
            </w: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725.62</w:t>
            </w: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662.98</w:t>
            </w: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662.98</w:t>
            </w: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9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725.62</w:t>
            </w:r>
          </w:p>
        </w:tc>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725.62</w:t>
            </w: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725.62</w:t>
            </w: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74"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81"/>
        <w:gridCol w:w="324"/>
        <w:gridCol w:w="775"/>
        <w:gridCol w:w="3793"/>
        <w:gridCol w:w="895"/>
        <w:gridCol w:w="1016"/>
        <w:gridCol w:w="10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sz w:val="22"/>
                <w:szCs w:val="24"/>
              </w:rPr>
            </w:pPr>
            <w:r>
              <w:rPr>
                <w:rFonts w:ascii="仿宋" w:hAnsi="仿宋" w:eastAsia="仿宋" w:cs="仿宋"/>
                <w:position w:val="8"/>
                <w:sz w:val="21"/>
                <w:szCs w:val="24"/>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sz w:val="22"/>
                <w:szCs w:val="24"/>
              </w:rPr>
            </w:pPr>
            <w:r>
              <w:rPr>
                <w:rFonts w:ascii="黑体" w:hAnsi="黑体" w:eastAsia="黑体" w:cs="黑体"/>
                <w:position w:val="15"/>
                <w:sz w:val="32"/>
                <w:szCs w:val="24"/>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73"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：皮山县藏桂乡卫生院</w:t>
            </w:r>
          </w:p>
        </w:tc>
        <w:tc>
          <w:tcPr>
            <w:tcW w:w="292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7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92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793" w:type="dxa"/>
          </w:tcPr>
          <w:p/>
        </w:tc>
        <w:tc>
          <w:tcPr>
            <w:tcW w:w="895" w:type="dxa"/>
          </w:tcPr>
          <w:p/>
        </w:tc>
        <w:tc>
          <w:tcPr>
            <w:tcW w:w="1016" w:type="dxa"/>
          </w:tcPr>
          <w:p/>
        </w:tc>
        <w:tc>
          <w:tcPr>
            <w:tcW w:w="101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41.76</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41.76</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20.88</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20.88</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662.98</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360.75</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383.81</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360.75</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360.75</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360.75</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23.06</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249.79</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249.79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150.08</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99.71</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725.62</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423.39</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302.23</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1"/>
        <w:gridCol w:w="1160"/>
        <w:gridCol w:w="3368"/>
        <w:gridCol w:w="1117"/>
        <w:gridCol w:w="1117"/>
        <w:gridCol w:w="11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0" w:hRule="atLeast"/>
        </w:trPr>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32"/>
                <w:szCs w:val="24"/>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9"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：皮山县藏桂乡卫生院</w:t>
            </w:r>
          </w:p>
        </w:tc>
        <w:tc>
          <w:tcPr>
            <w:tcW w:w="335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35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368" w:type="dxa"/>
          </w:tcPr>
          <w:p/>
        </w:tc>
        <w:tc>
          <w:tcPr>
            <w:tcW w:w="1117" w:type="dxa"/>
          </w:tcPr>
          <w:p/>
        </w:tc>
        <w:tc>
          <w:tcPr>
            <w:tcW w:w="1117" w:type="dxa"/>
          </w:tcPr>
          <w:p/>
        </w:tc>
        <w:tc>
          <w:tcPr>
            <w:tcW w:w="111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409.72</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409.72</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95.95</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95.95</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102.96</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102.96</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66.29</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66.29</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41.76</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41.76</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20.88</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20.88</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16.97</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16.97</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10.97</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10.97</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9.24</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9.24</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3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423.39</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423.39</w:t>
            </w:r>
          </w:p>
        </w:tc>
        <w:tc>
          <w:tcPr>
            <w:tcW w:w="111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10536" w:type="dxa"/>
        <w:tblInd w:w="-77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68"/>
        <w:gridCol w:w="468"/>
        <w:gridCol w:w="487"/>
        <w:gridCol w:w="596"/>
        <w:gridCol w:w="836"/>
        <w:gridCol w:w="600"/>
        <w:gridCol w:w="597"/>
        <w:gridCol w:w="597"/>
        <w:gridCol w:w="636"/>
        <w:gridCol w:w="538"/>
        <w:gridCol w:w="589"/>
        <w:gridCol w:w="577"/>
        <w:gridCol w:w="589"/>
        <w:gridCol w:w="577"/>
        <w:gridCol w:w="318"/>
        <w:gridCol w:w="258"/>
        <w:gridCol w:w="414"/>
        <w:gridCol w:w="13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36" w:type="dxa"/>
            <w:gridSpan w:val="1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36" w:type="dxa"/>
            <w:gridSpan w:val="1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85" w:type="dxa"/>
            <w:gridSpan w:val="9"/>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：皮山县藏桂乡卫生院</w:t>
            </w:r>
          </w:p>
        </w:tc>
        <w:tc>
          <w:tcPr>
            <w:tcW w:w="5251" w:type="dxa"/>
            <w:gridSpan w:val="9"/>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2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57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180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96" w:type="dxa"/>
          </w:tcPr>
          <w:p/>
        </w:tc>
        <w:tc>
          <w:tcPr>
            <w:tcW w:w="836" w:type="dxa"/>
          </w:tcPr>
          <w:p/>
        </w:tc>
        <w:tc>
          <w:tcPr>
            <w:tcW w:w="600" w:type="dxa"/>
          </w:tcPr>
          <w:p/>
        </w:tc>
        <w:tc>
          <w:tcPr>
            <w:tcW w:w="597" w:type="dxa"/>
          </w:tcPr>
          <w:p/>
        </w:tc>
        <w:tc>
          <w:tcPr>
            <w:tcW w:w="1233" w:type="dxa"/>
            <w:gridSpan w:val="2"/>
          </w:tcPr>
          <w:p/>
        </w:tc>
        <w:tc>
          <w:tcPr>
            <w:tcW w:w="538" w:type="dxa"/>
          </w:tcPr>
          <w:p/>
        </w:tc>
        <w:tc>
          <w:tcPr>
            <w:tcW w:w="589" w:type="dxa"/>
          </w:tcPr>
          <w:p/>
        </w:tc>
        <w:tc>
          <w:tcPr>
            <w:tcW w:w="577" w:type="dxa"/>
          </w:tcPr>
          <w:p/>
        </w:tc>
        <w:tc>
          <w:tcPr>
            <w:tcW w:w="589" w:type="dxa"/>
          </w:tcPr>
          <w:p/>
        </w:tc>
        <w:tc>
          <w:tcPr>
            <w:tcW w:w="577" w:type="dxa"/>
          </w:tcPr>
          <w:p/>
        </w:tc>
        <w:tc>
          <w:tcPr>
            <w:tcW w:w="318" w:type="dxa"/>
          </w:tcPr>
          <w:p/>
        </w:tc>
        <w:tc>
          <w:tcPr>
            <w:tcW w:w="672" w:type="dxa"/>
            <w:gridSpan w:val="2"/>
          </w:tcPr>
          <w:p/>
        </w:tc>
        <w:tc>
          <w:tcPr>
            <w:tcW w:w="13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302.23</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302.23</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2023年自治区医疗服务与保障能力提升（卫生健康人才培训）补助资金</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29.38</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23.06</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23.06</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〔2022〕72号</w:t>
            </w:r>
            <w:r>
              <w:rPr>
                <w:rFonts w:ascii="仿宋" w:hAnsi="仿宋" w:eastAsia="仿宋" w:cs="仿宋"/>
                <w:position w:val="8"/>
                <w:sz w:val="20"/>
              </w:rPr>
              <w:t>）</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23.06</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23.06</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249.79</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249.79</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2023年中央基本公共卫生服务补助资金-（和地财社【2022】71）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118.92</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118.92</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2023年自治区财政公共卫生服务补助资金-和地财社</w:t>
            </w:r>
            <w:r>
              <w:rPr>
                <w:rFonts w:hint="eastAsia" w:ascii="仿宋" w:hAnsi="仿宋" w:eastAsia="仿宋" w:cs="仿宋"/>
                <w:position w:val="8"/>
                <w:sz w:val="20"/>
                <w:lang w:eastAsia="zh-CN"/>
              </w:rPr>
              <w:t>〔2022〕73号</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31.16</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31.16</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2023年自治区公共卫生服务（地方公共卫生）补助资金</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96.88</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96.88</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2023年中央财政重大传染病防治补助资金</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2.83</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2.83</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302.23</w:t>
            </w:r>
          </w:p>
        </w:tc>
        <w:tc>
          <w:tcPr>
            <w:tcW w:w="59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302.23</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91"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99"/>
        <w:gridCol w:w="801"/>
        <w:gridCol w:w="800"/>
        <w:gridCol w:w="2466"/>
        <w:gridCol w:w="1080"/>
        <w:gridCol w:w="1227"/>
        <w:gridCol w:w="12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rPr>
                <w:rFonts w:hint="default" w:ascii="仿宋" w:hAnsi="仿宋" w:eastAsia="仿宋" w:cs="仿宋"/>
                <w:position w:val="8"/>
                <w:sz w:val="20"/>
                <w:lang w:val="en-US" w:eastAsia="zh-CN"/>
              </w:rPr>
            </w:pPr>
            <w:r>
              <w:rPr>
                <w:rFonts w:hint="eastAsia" w:ascii="仿宋" w:hAnsi="仿宋" w:eastAsia="仿宋" w:cs="仿宋"/>
                <w:position w:val="8"/>
                <w:sz w:val="20"/>
                <w:lang w:val="en-US" w:eastAsia="zh-CN"/>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color w:val="auto"/>
                <w:highlight w:val="none"/>
              </w:rPr>
            </w:pPr>
            <w:r>
              <w:rPr>
                <w:rFonts w:ascii="黑体" w:hAnsi="黑体" w:eastAsia="黑体" w:cs="黑体"/>
                <w:color w:val="auto"/>
                <w:position w:val="15"/>
                <w:sz w:val="28"/>
                <w:highlight w:val="none"/>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66" w:type="dxa"/>
            <w:gridSpan w:val="4"/>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w:t>
            </w:r>
            <w:r>
              <w:rPr>
                <w:rFonts w:hint="eastAsia" w:ascii="仿宋" w:hAnsi="仿宋" w:eastAsia="仿宋" w:cs="仿宋"/>
                <w:color w:val="auto"/>
                <w:position w:val="8"/>
                <w:sz w:val="20"/>
                <w:highlight w:val="none"/>
                <w:lang w:val="en-US" w:eastAsia="zh-CN"/>
              </w:rPr>
              <w:t>藏桂乡</w:t>
            </w:r>
            <w:r>
              <w:rPr>
                <w:rFonts w:ascii="仿宋" w:hAnsi="仿宋" w:eastAsia="仿宋" w:cs="仿宋"/>
                <w:color w:val="auto"/>
                <w:position w:val="8"/>
                <w:sz w:val="20"/>
                <w:highlight w:val="none"/>
              </w:rPr>
              <w:t>卫生院</w:t>
            </w:r>
          </w:p>
        </w:tc>
        <w:tc>
          <w:tcPr>
            <w:tcW w:w="3534"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66"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w:t>
            </w:r>
          </w:p>
        </w:tc>
        <w:tc>
          <w:tcPr>
            <w:tcW w:w="3534"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0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功能分类科目编码</w:t>
            </w:r>
          </w:p>
        </w:tc>
        <w:tc>
          <w:tcPr>
            <w:tcW w:w="246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功能分类科目名称</w:t>
            </w:r>
          </w:p>
        </w:tc>
        <w:tc>
          <w:tcPr>
            <w:tcW w:w="10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合计</w:t>
            </w:r>
          </w:p>
        </w:tc>
        <w:tc>
          <w:tcPr>
            <w:tcW w:w="12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基本支出</w:t>
            </w:r>
          </w:p>
        </w:tc>
        <w:tc>
          <w:tcPr>
            <w:tcW w:w="12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类</w:t>
            </w: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款</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w:t>
            </w:r>
          </w:p>
        </w:tc>
        <w:tc>
          <w:tcPr>
            <w:tcW w:w="2466" w:type="dxa"/>
            <w:vMerge w:val="continue"/>
          </w:tcPr>
          <w:p>
            <w:pPr>
              <w:rPr>
                <w:color w:val="auto"/>
                <w:highlight w:val="none"/>
              </w:rPr>
            </w:pPr>
          </w:p>
        </w:tc>
        <w:tc>
          <w:tcPr>
            <w:tcW w:w="1080" w:type="dxa"/>
            <w:vMerge w:val="continue"/>
          </w:tcPr>
          <w:p>
            <w:pPr>
              <w:rPr>
                <w:color w:val="auto"/>
                <w:highlight w:val="none"/>
              </w:rPr>
            </w:pPr>
          </w:p>
        </w:tc>
        <w:tc>
          <w:tcPr>
            <w:tcW w:w="1227" w:type="dxa"/>
            <w:vMerge w:val="continue"/>
          </w:tcPr>
          <w:p>
            <w:pPr>
              <w:rPr>
                <w:color w:val="auto"/>
                <w:highlight w:val="none"/>
              </w:rPr>
            </w:pPr>
          </w:p>
        </w:tc>
        <w:tc>
          <w:tcPr>
            <w:tcW w:w="1227" w:type="dxa"/>
            <w:vMerge w:val="continue"/>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color w:val="auto"/>
                <w:highlight w:val="none"/>
                <w:lang w:eastAsia="zh-CN"/>
              </w:rPr>
            </w:pP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color w:val="auto"/>
                <w:highlight w:val="none"/>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color w:val="auto"/>
                <w:highlight w:val="none"/>
                <w:lang w:eastAsia="zh-CN"/>
              </w:rPr>
            </w:pPr>
          </w:p>
        </w:tc>
        <w:tc>
          <w:tcPr>
            <w:tcW w:w="2466"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合计</w:t>
            </w:r>
          </w:p>
        </w:tc>
        <w:tc>
          <w:tcPr>
            <w:tcW w:w="108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color w:val="auto"/>
                <w:highlight w:val="none"/>
              </w:rPr>
            </w:pPr>
          </w:p>
        </w:tc>
        <w:tc>
          <w:tcPr>
            <w:tcW w:w="801" w:type="dxa"/>
          </w:tcPr>
          <w:p>
            <w:pPr>
              <w:rPr>
                <w:color w:val="auto"/>
                <w:highlight w:val="none"/>
              </w:rPr>
            </w:pPr>
          </w:p>
        </w:tc>
        <w:tc>
          <w:tcPr>
            <w:tcW w:w="800" w:type="dxa"/>
          </w:tcPr>
          <w:p>
            <w:pPr>
              <w:rPr>
                <w:color w:val="auto"/>
                <w:highlight w:val="none"/>
              </w:rPr>
            </w:pPr>
          </w:p>
        </w:tc>
        <w:tc>
          <w:tcPr>
            <w:tcW w:w="2466" w:type="dxa"/>
          </w:tcPr>
          <w:p>
            <w:pPr>
              <w:rPr>
                <w:color w:val="auto"/>
                <w:highlight w:val="none"/>
              </w:rPr>
            </w:pPr>
          </w:p>
        </w:tc>
        <w:tc>
          <w:tcPr>
            <w:tcW w:w="1080" w:type="dxa"/>
          </w:tcPr>
          <w:p>
            <w:pPr>
              <w:rPr>
                <w:color w:val="auto"/>
                <w:highlight w:val="none"/>
              </w:rPr>
            </w:pPr>
          </w:p>
        </w:tc>
        <w:tc>
          <w:tcPr>
            <w:tcW w:w="1227" w:type="dxa"/>
          </w:tcPr>
          <w:p>
            <w:pPr>
              <w:rPr>
                <w:color w:val="auto"/>
                <w:highlight w:val="none"/>
              </w:rPr>
            </w:pPr>
          </w:p>
        </w:tc>
        <w:tc>
          <w:tcPr>
            <w:tcW w:w="122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color w:val="auto"/>
                <w:highlight w:val="none"/>
              </w:rPr>
            </w:pPr>
          </w:p>
        </w:tc>
        <w:tc>
          <w:tcPr>
            <w:tcW w:w="801" w:type="dxa"/>
          </w:tcPr>
          <w:p>
            <w:pPr>
              <w:rPr>
                <w:color w:val="auto"/>
                <w:highlight w:val="none"/>
              </w:rPr>
            </w:pPr>
          </w:p>
        </w:tc>
        <w:tc>
          <w:tcPr>
            <w:tcW w:w="800" w:type="dxa"/>
          </w:tcPr>
          <w:p>
            <w:pPr>
              <w:rPr>
                <w:color w:val="auto"/>
                <w:highlight w:val="none"/>
              </w:rPr>
            </w:pPr>
          </w:p>
        </w:tc>
        <w:tc>
          <w:tcPr>
            <w:tcW w:w="2466" w:type="dxa"/>
          </w:tcPr>
          <w:p>
            <w:pPr>
              <w:rPr>
                <w:color w:val="auto"/>
                <w:highlight w:val="none"/>
              </w:rPr>
            </w:pPr>
          </w:p>
        </w:tc>
        <w:tc>
          <w:tcPr>
            <w:tcW w:w="1080" w:type="dxa"/>
          </w:tcPr>
          <w:p>
            <w:pPr>
              <w:rPr>
                <w:color w:val="auto"/>
                <w:highlight w:val="none"/>
              </w:rPr>
            </w:pPr>
          </w:p>
        </w:tc>
        <w:tc>
          <w:tcPr>
            <w:tcW w:w="1227" w:type="dxa"/>
          </w:tcPr>
          <w:p>
            <w:pPr>
              <w:rPr>
                <w:color w:val="auto"/>
                <w:highlight w:val="none"/>
              </w:rPr>
            </w:pPr>
          </w:p>
        </w:tc>
        <w:tc>
          <w:tcPr>
            <w:tcW w:w="122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color w:val="auto"/>
                <w:highlight w:val="none"/>
              </w:rPr>
            </w:pPr>
          </w:p>
        </w:tc>
        <w:tc>
          <w:tcPr>
            <w:tcW w:w="801" w:type="dxa"/>
          </w:tcPr>
          <w:p>
            <w:pPr>
              <w:rPr>
                <w:color w:val="auto"/>
                <w:highlight w:val="none"/>
              </w:rPr>
            </w:pPr>
          </w:p>
        </w:tc>
        <w:tc>
          <w:tcPr>
            <w:tcW w:w="800" w:type="dxa"/>
          </w:tcPr>
          <w:p>
            <w:pPr>
              <w:rPr>
                <w:color w:val="auto"/>
                <w:highlight w:val="none"/>
              </w:rPr>
            </w:pPr>
          </w:p>
        </w:tc>
        <w:tc>
          <w:tcPr>
            <w:tcW w:w="2466" w:type="dxa"/>
          </w:tcPr>
          <w:p>
            <w:pPr>
              <w:rPr>
                <w:color w:val="auto"/>
                <w:highlight w:val="none"/>
              </w:rPr>
            </w:pPr>
          </w:p>
        </w:tc>
        <w:tc>
          <w:tcPr>
            <w:tcW w:w="1080" w:type="dxa"/>
          </w:tcPr>
          <w:p>
            <w:pPr>
              <w:rPr>
                <w:color w:val="auto"/>
                <w:highlight w:val="none"/>
              </w:rPr>
            </w:pPr>
          </w:p>
        </w:tc>
        <w:tc>
          <w:tcPr>
            <w:tcW w:w="1227" w:type="dxa"/>
          </w:tcPr>
          <w:p>
            <w:pPr>
              <w:rPr>
                <w:color w:val="auto"/>
                <w:highlight w:val="none"/>
              </w:rPr>
            </w:pPr>
          </w:p>
        </w:tc>
        <w:tc>
          <w:tcPr>
            <w:tcW w:w="122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color w:val="auto"/>
                <w:highlight w:val="none"/>
              </w:rPr>
            </w:pPr>
          </w:p>
        </w:tc>
        <w:tc>
          <w:tcPr>
            <w:tcW w:w="801" w:type="dxa"/>
          </w:tcPr>
          <w:p>
            <w:pPr>
              <w:rPr>
                <w:color w:val="auto"/>
                <w:highlight w:val="none"/>
              </w:rPr>
            </w:pPr>
          </w:p>
        </w:tc>
        <w:tc>
          <w:tcPr>
            <w:tcW w:w="800" w:type="dxa"/>
          </w:tcPr>
          <w:p>
            <w:pPr>
              <w:rPr>
                <w:color w:val="auto"/>
                <w:highlight w:val="none"/>
              </w:rPr>
            </w:pPr>
          </w:p>
        </w:tc>
        <w:tc>
          <w:tcPr>
            <w:tcW w:w="2466" w:type="dxa"/>
          </w:tcPr>
          <w:p>
            <w:pPr>
              <w:rPr>
                <w:color w:val="auto"/>
                <w:highlight w:val="none"/>
              </w:rPr>
            </w:pPr>
          </w:p>
        </w:tc>
        <w:tc>
          <w:tcPr>
            <w:tcW w:w="1080" w:type="dxa"/>
          </w:tcPr>
          <w:p>
            <w:pPr>
              <w:rPr>
                <w:color w:val="auto"/>
                <w:highlight w:val="none"/>
              </w:rPr>
            </w:pPr>
          </w:p>
        </w:tc>
        <w:tc>
          <w:tcPr>
            <w:tcW w:w="1227" w:type="dxa"/>
          </w:tcPr>
          <w:p>
            <w:pPr>
              <w:rPr>
                <w:color w:val="auto"/>
                <w:highlight w:val="none"/>
              </w:rPr>
            </w:pPr>
          </w:p>
        </w:tc>
        <w:tc>
          <w:tcPr>
            <w:tcW w:w="122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color w:val="auto"/>
                <w:highlight w:val="none"/>
              </w:rPr>
            </w:pPr>
          </w:p>
        </w:tc>
        <w:tc>
          <w:tcPr>
            <w:tcW w:w="801" w:type="dxa"/>
          </w:tcPr>
          <w:p>
            <w:pPr>
              <w:rPr>
                <w:color w:val="auto"/>
                <w:highlight w:val="none"/>
              </w:rPr>
            </w:pPr>
          </w:p>
        </w:tc>
        <w:tc>
          <w:tcPr>
            <w:tcW w:w="800" w:type="dxa"/>
          </w:tcPr>
          <w:p>
            <w:pPr>
              <w:rPr>
                <w:color w:val="auto"/>
                <w:highlight w:val="none"/>
              </w:rPr>
            </w:pPr>
          </w:p>
        </w:tc>
        <w:tc>
          <w:tcPr>
            <w:tcW w:w="2466" w:type="dxa"/>
          </w:tcPr>
          <w:p>
            <w:pPr>
              <w:rPr>
                <w:color w:val="auto"/>
                <w:highlight w:val="none"/>
              </w:rPr>
            </w:pPr>
          </w:p>
        </w:tc>
        <w:tc>
          <w:tcPr>
            <w:tcW w:w="1080" w:type="dxa"/>
          </w:tcPr>
          <w:p>
            <w:pPr>
              <w:rPr>
                <w:color w:val="auto"/>
                <w:highlight w:val="none"/>
              </w:rPr>
            </w:pPr>
          </w:p>
        </w:tc>
        <w:tc>
          <w:tcPr>
            <w:tcW w:w="1227" w:type="dxa"/>
          </w:tcPr>
          <w:p>
            <w:pPr>
              <w:rPr>
                <w:color w:val="auto"/>
                <w:highlight w:val="none"/>
              </w:rPr>
            </w:pPr>
          </w:p>
        </w:tc>
        <w:tc>
          <w:tcPr>
            <w:tcW w:w="1227" w:type="dxa"/>
          </w:tcPr>
          <w:p>
            <w:pPr>
              <w:rPr>
                <w:color w:val="auto"/>
                <w:highlight w:val="none"/>
              </w:rPr>
            </w:pPr>
          </w:p>
        </w:tc>
      </w:tr>
    </w:tbl>
    <w:p>
      <w:r>
        <w:br w:type="textWrapping"/>
      </w:r>
      <w:r>
        <w:rPr>
          <w:rFonts w:ascii="仿宋" w:hAnsi="仿宋" w:eastAsia="仿宋" w:cs="仿宋"/>
          <w:color w:val="auto"/>
          <w:position w:val="8"/>
          <w:sz w:val="20"/>
          <w:highlight w:val="none"/>
        </w:rPr>
        <w:t>皮山县</w:t>
      </w:r>
      <w:r>
        <w:rPr>
          <w:rFonts w:hint="eastAsia" w:ascii="仿宋" w:hAnsi="仿宋" w:eastAsia="仿宋" w:cs="仿宋"/>
          <w:color w:val="auto"/>
          <w:position w:val="8"/>
          <w:sz w:val="20"/>
          <w:highlight w:val="none"/>
          <w:lang w:val="en-US" w:eastAsia="zh-CN"/>
        </w:rPr>
        <w:t>藏桂乡</w:t>
      </w:r>
      <w:r>
        <w:rPr>
          <w:rFonts w:ascii="仿宋" w:hAnsi="仿宋" w:eastAsia="仿宋" w:cs="仿宋"/>
          <w:color w:val="auto"/>
          <w:position w:val="8"/>
          <w:sz w:val="20"/>
          <w:highlight w:val="none"/>
        </w:rPr>
        <w:t>卫生院2023年没有使用政府性基金预算拨款安排的支出，政府性基金预算支出情况表为空表</w:t>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37"/>
        <w:gridCol w:w="1680"/>
        <w:gridCol w:w="340"/>
        <w:gridCol w:w="340"/>
        <w:gridCol w:w="1000"/>
        <w:gridCol w:w="150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57"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：皮山县藏桂乡卫生院</w:t>
            </w:r>
          </w:p>
        </w:tc>
        <w:tc>
          <w:tcPr>
            <w:tcW w:w="2843"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18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37" w:type="dxa"/>
            <w:vMerge w:val="continue"/>
          </w:tcPr>
          <w:p/>
        </w:tc>
        <w:tc>
          <w:tcPr>
            <w:tcW w:w="1680" w:type="dxa"/>
            <w:vMerge w:val="restart"/>
          </w:tcPr>
          <w:p/>
        </w:tc>
        <w:tc>
          <w:tcPr>
            <w:tcW w:w="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5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left w:val="nil"/>
              <w:bottom w:val="nil"/>
              <w:right w:val="nil"/>
            </w:tcBorders>
            <w:vAlign w:val="center"/>
          </w:tcPr>
          <w:p>
            <w:pPr>
              <w:ind w:left="150"/>
              <w:jc w:val="left"/>
            </w:pPr>
            <w:r>
              <w:rPr>
                <w:rFonts w:ascii="仿宋" w:hAnsi="仿宋" w:eastAsia="仿宋" w:cs="仿宋"/>
                <w:position w:val="8"/>
                <w:sz w:val="20"/>
              </w:rPr>
              <w:t>皮山县藏桂乡卫生院2023年没有使用财政拨款“三公”经费安排的支出，财政拨款“三公”经费支出情况表为空表。</w:t>
            </w:r>
          </w:p>
        </w:tc>
      </w:tr>
    </w:tbl>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rPr>
          <w:rFonts w:hint="eastAsia" w:ascii="黑体" w:hAnsi="黑体" w:eastAsia="黑体" w:cs="黑体"/>
          <w:position w:val="10"/>
          <w:sz w:val="40"/>
          <w:szCs w:val="40"/>
        </w:rPr>
      </w:pPr>
      <w:r>
        <w:rPr>
          <w:rFonts w:hint="eastAsia" w:ascii="黑体" w:hAnsi="黑体" w:eastAsia="黑体" w:cs="黑体"/>
          <w:position w:val="10"/>
          <w:sz w:val="40"/>
          <w:szCs w:val="40"/>
        </w:rPr>
        <w:t>第三部分2023年皮山县藏桂乡卫生院预算情况说明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0" w:firstLineChars="200"/>
        <w:jc w:val="left"/>
        <w:textAlignment w:val="auto"/>
        <w:outlineLvl w:val="9"/>
        <w:rPr>
          <w:sz w:val="32"/>
          <w:szCs w:val="32"/>
        </w:rPr>
      </w:pPr>
      <w:r>
        <w:rPr>
          <w:rFonts w:ascii="黑体" w:hAnsi="黑体" w:eastAsia="黑体" w:cs="黑体"/>
          <w:position w:val="20"/>
          <w:sz w:val="32"/>
          <w:szCs w:val="32"/>
        </w:rPr>
        <w:t>一、关于皮山县藏桂乡卫生院2023年收支预算情况的总体说明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按照全口径预算的原则，皮山县藏桂乡卫生院2023年所有收入和支出均纳入单位预算管理。收支总预算1345.65万元。</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收入预算包括：一般公共预算、单位资金、财政拨款。</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支出预算包括：社会保障和就业支出、卫生健康支出。</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0" w:firstLineChars="200"/>
        <w:jc w:val="left"/>
        <w:textAlignment w:val="auto"/>
        <w:outlineLvl w:val="9"/>
        <w:rPr>
          <w:sz w:val="32"/>
          <w:szCs w:val="32"/>
        </w:rPr>
      </w:pPr>
      <w:r>
        <w:rPr>
          <w:rFonts w:ascii="黑体" w:hAnsi="黑体" w:eastAsia="黑体" w:cs="黑体"/>
          <w:position w:val="20"/>
          <w:sz w:val="32"/>
          <w:szCs w:val="32"/>
        </w:rPr>
        <w:t>二、关于皮山县藏桂乡卫生院2023年收入预算情况说明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皮山县藏桂乡卫生院收入预算1345.65万元，其中：</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一般公共预算423.39万元，占31.46%，比上年预算减少166.74万元，下降28.25%，主要原因是在职人员和临聘人员工资调整。</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上级一般公共预算安排的转移支付资金302.23万元，占22.46%，比上年预算增加302.23万元，增长100.00%，主要原因是新安排项目。</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单位资金550万元，占40.87%，比上年预算增加550.00万元，增长100.00%，主要原因是今年安排项目。</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财政拨款结转70.03万元，占5.20%，比上年预算增加70.03万元，增长100.00%，主要原因是今年安排项目。</w:t>
      </w:r>
      <w:r>
        <w:rPr>
          <w:rFonts w:hint="default" w:ascii="仿宋" w:hAnsi="仿宋" w:eastAsia="仿宋" w:cs="仿宋"/>
          <w:position w:val="10"/>
          <w:sz w:val="32"/>
          <w:szCs w:val="32"/>
          <w:lang w:val="en-US" w:eastAsia="zh-CN"/>
        </w:rPr>
        <w:t>导致</w:t>
      </w:r>
      <w:r>
        <w:rPr>
          <w:rFonts w:hint="default" w:ascii="仿宋" w:hAnsi="仿宋" w:eastAsia="仿宋" w:cs="仿宋"/>
          <w:position w:val="10"/>
          <w:sz w:val="32"/>
          <w:szCs w:val="32"/>
          <w:lang w:eastAsia="zh-CN"/>
        </w:rPr>
        <w:t>财政拨款结转资金增加</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0" w:firstLineChars="200"/>
        <w:jc w:val="both"/>
        <w:textAlignment w:val="auto"/>
        <w:outlineLvl w:val="9"/>
        <w:rPr>
          <w:sz w:val="32"/>
          <w:szCs w:val="32"/>
        </w:rPr>
      </w:pPr>
      <w:r>
        <w:rPr>
          <w:rFonts w:ascii="黑体" w:hAnsi="黑体" w:eastAsia="黑体" w:cs="黑体"/>
          <w:position w:val="20"/>
          <w:sz w:val="32"/>
          <w:szCs w:val="32"/>
        </w:rPr>
        <w:t>三、关于皮山县藏桂乡卫生院2023年支出预算情况说明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rFonts w:ascii="仿宋" w:hAnsi="仿宋" w:eastAsia="仿宋" w:cs="仿宋"/>
          <w:position w:val="10"/>
          <w:sz w:val="32"/>
          <w:szCs w:val="32"/>
          <w:highlight w:val="yellow"/>
        </w:rPr>
      </w:pPr>
      <w:r>
        <w:rPr>
          <w:rFonts w:ascii="仿宋" w:hAnsi="仿宋" w:eastAsia="仿宋" w:cs="仿宋"/>
          <w:position w:val="10"/>
          <w:sz w:val="32"/>
          <w:szCs w:val="32"/>
        </w:rPr>
        <w:t>皮山县藏桂乡卫生院2023年支出预算1345.65万元，其中：</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rFonts w:ascii="仿宋" w:hAnsi="仿宋" w:eastAsia="仿宋" w:cs="仿宋"/>
          <w:position w:val="10"/>
          <w:sz w:val="32"/>
          <w:szCs w:val="32"/>
          <w:highlight w:val="none"/>
        </w:rPr>
      </w:pPr>
      <w:r>
        <w:rPr>
          <w:rFonts w:ascii="仿宋" w:hAnsi="仿宋" w:eastAsia="仿宋" w:cs="仿宋"/>
          <w:position w:val="10"/>
          <w:sz w:val="32"/>
          <w:szCs w:val="32"/>
          <w:highlight w:val="none"/>
        </w:rPr>
        <w:t>基本支出423.39万元，占31.46%，比上年预算增加43.26万元，增长11.38%，主要原因是工资调整。</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highlight w:val="none"/>
        </w:rPr>
        <w:t>项目支出922.26万元，占68.54%，比上年预算增加712.26万元，增长339.17%，主要原因是增加项目。</w:t>
      </w:r>
      <w:r>
        <w:rPr>
          <w:rFonts w:ascii="仿宋" w:hAnsi="仿宋" w:eastAsia="仿宋" w:cs="仿宋"/>
          <w:color w:val="auto"/>
          <w:position w:val="10"/>
          <w:sz w:val="32"/>
          <w:szCs w:val="32"/>
          <w:highlight w:val="none"/>
        </w:rPr>
        <w:t>主要原因是门诊，住院看病人员增加。</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0" w:firstLineChars="200"/>
        <w:jc w:val="left"/>
        <w:textAlignment w:val="auto"/>
        <w:outlineLvl w:val="9"/>
        <w:rPr>
          <w:sz w:val="32"/>
          <w:szCs w:val="32"/>
        </w:rPr>
      </w:pPr>
      <w:r>
        <w:rPr>
          <w:rFonts w:ascii="黑体" w:hAnsi="黑体" w:eastAsia="黑体" w:cs="黑体"/>
          <w:position w:val="20"/>
          <w:sz w:val="32"/>
          <w:szCs w:val="32"/>
        </w:rPr>
        <w:t>四、关于皮山县藏桂乡卫生院2023年财政拨款收支预算情况的总体说明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2023年财政拨款收支总预算725.62万元。</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收入预算包括：一般公共预算拨款725.62万元。</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一般公共预算支出包括：社会保障和就业支出62.64万元，主要用于社保，医保。</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卫生健康支出662.98万元，主要用于工资福利。</w:t>
      </w:r>
    </w:p>
    <w:p>
      <w:pPr>
        <w:keepNext w:val="0"/>
        <w:keepLines w:val="0"/>
        <w:pageBreakBefore w:val="0"/>
        <w:widowControl w:val="0"/>
        <w:numPr>
          <w:numId w:val="0"/>
        </w:numPr>
        <w:kinsoku/>
        <w:wordWrap/>
        <w:overflowPunct/>
        <w:topLinePunct w:val="0"/>
        <w:autoSpaceDE/>
        <w:autoSpaceDN/>
        <w:bidi w:val="0"/>
        <w:adjustRightInd/>
        <w:snapToGrid/>
        <w:spacing w:before="150" w:line="560" w:lineRule="exact"/>
        <w:ind w:right="0" w:rightChars="0" w:firstLine="640" w:firstLineChars="200"/>
        <w:jc w:val="left"/>
        <w:textAlignment w:val="auto"/>
        <w:outlineLvl w:val="9"/>
        <w:rPr>
          <w:sz w:val="32"/>
          <w:szCs w:val="32"/>
        </w:rPr>
      </w:pPr>
      <w:r>
        <w:rPr>
          <w:rFonts w:ascii="黑体" w:hAnsi="黑体" w:eastAsia="黑体" w:cs="黑体"/>
          <w:position w:val="20"/>
          <w:sz w:val="32"/>
          <w:szCs w:val="32"/>
        </w:rPr>
        <w:t>五、关于皮山县藏桂乡卫生院2023年一般公共预算当年拨款情况说明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皮山县藏桂乡卫生院2023年一般公共预算拨款合计725.62万元，其中：</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基本支出423.39万元，比上年预算减少166.74万元，下降28.25%。主要原因是：基数调整。</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项目支出302.23万元，比上年预算增加92.23万元，增长43.92%。主要原因是：增加项目。</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1.社会保障和就业支出（类）62.64万元，占8.63%。</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2.卫生健康支出（类）662.98万元，占91.37%。</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1.社会保障和就业支出（类）行政事业单位养老支出（款）机关事业单位基本养老保险缴费支出（项）:2023年预算数为41.76万元，比上年预算数减少14.85万元，下降26.23%，主要原因是：基数调整。</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2.社会保障和就业支出（类）行政事业单位养老支出（款）机关事业单位职业年金缴费支出（项）:2023年预算数为20.88万元，比上年预算数增加20.88万元，增长100.00%，主要原因是：未安排。</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3.卫生健康支出（类）卫生健康管理事务（款）其他卫生健康管理事务支出（项）:2023年预算数为29.38万元，比上年预算数减少27.23万元，下降48.1%，主要原因是：基数调整。</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4.卫生健康支出（类）基层医疗卫生机构（款）乡镇卫生院（项）:2023年预算数为360.75万元，比上年预算数减少172.77万元，下降32.38%，主要原因是：人员减少。</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5.卫生健康支出（类）基层医疗卫生机构（款）其他基层医疗卫生机构支出（项）:2023年预算数为23.06万元，比上年预算数减少510.46万元，下降95.68%，主要原因是：工资调整。</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6.卫生健康支出（类）公共卫生（款）基本公共卫生服务（项）:2023年预算数为150.08万元，比上年预算数增加150.08万元，增长100.00%，主要原因是：新增安排项目。</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7.卫生健康支出（类）公共卫生（款）其他公共卫生支出（项）:2023年预算数为99.71万元，比上年预算数增加99.71万元，增长100.00%，主要原因是：新增安排项目。</w:t>
      </w:r>
    </w:p>
    <w:p>
      <w:pPr>
        <w:keepNext w:val="0"/>
        <w:keepLines w:val="0"/>
        <w:pageBreakBefore w:val="0"/>
        <w:widowControl w:val="0"/>
        <w:kinsoku/>
        <w:wordWrap/>
        <w:overflowPunct/>
        <w:topLinePunct w:val="0"/>
        <w:autoSpaceDE/>
        <w:autoSpaceDN/>
        <w:bidi w:val="0"/>
        <w:adjustRightInd/>
        <w:snapToGrid/>
        <w:spacing w:before="150" w:line="560" w:lineRule="exact"/>
        <w:ind w:left="200" w:right="0" w:firstLine="640" w:firstLineChars="200"/>
        <w:jc w:val="both"/>
        <w:textAlignment w:val="auto"/>
        <w:outlineLvl w:val="9"/>
        <w:rPr>
          <w:sz w:val="32"/>
          <w:szCs w:val="32"/>
        </w:rPr>
      </w:pPr>
      <w:r>
        <w:rPr>
          <w:rFonts w:ascii="黑体" w:hAnsi="黑体" w:eastAsia="黑体" w:cs="黑体"/>
          <w:position w:val="20"/>
          <w:sz w:val="32"/>
          <w:szCs w:val="32"/>
        </w:rPr>
        <w:t>六、关于皮山县藏桂乡卫生院2023年一般公共预算基本支出情况说明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皮山县藏桂乡卫生院2023年一般公共预算基本支出423.39万元，其中：</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人员经费423.39万元，主要包括：基本工资、津贴补贴、奖金、绩效工资、机关事业单位基本养老保险缴费、职业年金缴费、城镇职工基本医疗保险缴费、其他社会保障缴费、住房公积金、取暖费、退休费、生活补助。</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200" w:right="0" w:firstLine="640" w:firstLineChars="200"/>
        <w:jc w:val="both"/>
        <w:textAlignment w:val="auto"/>
        <w:outlineLvl w:val="9"/>
        <w:rPr>
          <w:rFonts w:ascii="仿宋" w:hAnsi="仿宋" w:eastAsia="仿宋" w:cs="仿宋"/>
          <w:color w:val="auto"/>
          <w:position w:val="10"/>
          <w:sz w:val="32"/>
          <w:szCs w:val="32"/>
          <w:highlight w:val="none"/>
        </w:rPr>
      </w:pPr>
      <w:r>
        <w:rPr>
          <w:rFonts w:ascii="黑体" w:hAnsi="黑体" w:eastAsia="黑体" w:cs="黑体"/>
          <w:position w:val="20"/>
          <w:sz w:val="32"/>
          <w:szCs w:val="32"/>
        </w:rPr>
        <w:t>七、关于皮山县藏桂乡卫生院2023年一般公共预算项目支出情况说明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1.项目名称：2023年国家基本公共卫生中央（第一批）补助资金。</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设立的政策依据：和地财社</w:t>
      </w:r>
      <w:r>
        <w:rPr>
          <w:rFonts w:hint="eastAsia" w:ascii="仿宋" w:hAnsi="仿宋" w:eastAsia="仿宋" w:cs="仿宋"/>
          <w:color w:val="auto"/>
          <w:position w:val="10"/>
          <w:sz w:val="32"/>
          <w:szCs w:val="32"/>
          <w:highlight w:val="none"/>
          <w:lang w:eastAsia="zh-CN"/>
        </w:rPr>
        <w:t>〔2022〕71号</w:t>
      </w:r>
      <w:r>
        <w:rPr>
          <w:rFonts w:ascii="仿宋" w:hAnsi="仿宋" w:eastAsia="仿宋" w:cs="仿宋"/>
          <w:color w:val="auto"/>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预算安排规模：</w:t>
      </w:r>
      <w:r>
        <w:rPr>
          <w:rFonts w:hint="eastAsia" w:ascii="仿宋" w:hAnsi="仿宋" w:eastAsia="仿宋" w:cs="仿宋"/>
          <w:color w:val="auto"/>
          <w:position w:val="10"/>
          <w:sz w:val="32"/>
          <w:szCs w:val="32"/>
          <w:highlight w:val="none"/>
          <w:lang w:val="en-US" w:eastAsia="zh-CN"/>
        </w:rPr>
        <w:t>118.916624</w:t>
      </w:r>
      <w:r>
        <w:rPr>
          <w:rFonts w:ascii="仿宋" w:hAnsi="仿宋" w:eastAsia="仿宋" w:cs="仿宋"/>
          <w:color w:val="auto"/>
          <w:position w:val="1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项目承担单位：皮山县</w:t>
      </w:r>
      <w:r>
        <w:rPr>
          <w:rFonts w:hint="eastAsia" w:ascii="仿宋" w:hAnsi="仿宋" w:eastAsia="仿宋" w:cs="仿宋"/>
          <w:color w:val="auto"/>
          <w:position w:val="10"/>
          <w:sz w:val="32"/>
          <w:szCs w:val="32"/>
          <w:highlight w:val="none"/>
          <w:lang w:val="en-US" w:eastAsia="zh-CN"/>
        </w:rPr>
        <w:t>藏桂乡</w:t>
      </w:r>
      <w:r>
        <w:rPr>
          <w:rFonts w:ascii="仿宋" w:hAnsi="仿宋" w:eastAsia="仿宋" w:cs="仿宋"/>
          <w:color w:val="auto"/>
          <w:position w:val="10"/>
          <w:sz w:val="32"/>
          <w:szCs w:val="32"/>
          <w:highlight w:val="none"/>
        </w:rPr>
        <w:t>卫生院。</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资金分配情况：基本公共卫生工作经费。</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资金执行时间：2023年1月1日</w:t>
      </w:r>
      <w:r>
        <w:rPr>
          <w:rFonts w:hint="eastAsia" w:ascii="仿宋" w:hAnsi="仿宋" w:eastAsia="仿宋" w:cs="仿宋"/>
          <w:color w:val="auto"/>
          <w:position w:val="10"/>
          <w:sz w:val="32"/>
          <w:szCs w:val="32"/>
          <w:highlight w:val="none"/>
          <w:lang w:eastAsia="zh-CN"/>
        </w:rPr>
        <w:t>至</w:t>
      </w:r>
      <w:r>
        <w:rPr>
          <w:rFonts w:ascii="仿宋" w:hAnsi="仿宋" w:eastAsia="仿宋" w:cs="仿宋"/>
          <w:color w:val="auto"/>
          <w:position w:val="10"/>
          <w:sz w:val="32"/>
          <w:szCs w:val="32"/>
          <w:highlight w:val="none"/>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2.项目名称：2023年国家基本药物补助资金。</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设立的政策依据：和地财社</w:t>
      </w:r>
      <w:r>
        <w:rPr>
          <w:rFonts w:hint="eastAsia" w:ascii="仿宋" w:hAnsi="仿宋" w:eastAsia="仿宋" w:cs="仿宋"/>
          <w:color w:val="auto"/>
          <w:position w:val="10"/>
          <w:sz w:val="32"/>
          <w:szCs w:val="32"/>
          <w:highlight w:val="none"/>
          <w:lang w:eastAsia="zh-CN"/>
        </w:rPr>
        <w:t>〔2022〕72号</w:t>
      </w:r>
      <w:r>
        <w:rPr>
          <w:rFonts w:ascii="仿宋" w:hAnsi="仿宋" w:eastAsia="仿宋" w:cs="仿宋"/>
          <w:color w:val="auto"/>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预算安排规模：</w:t>
      </w:r>
      <w:r>
        <w:rPr>
          <w:rFonts w:hint="eastAsia" w:ascii="仿宋" w:hAnsi="仿宋" w:eastAsia="仿宋" w:cs="仿宋"/>
          <w:color w:val="auto"/>
          <w:position w:val="10"/>
          <w:sz w:val="32"/>
          <w:szCs w:val="32"/>
          <w:highlight w:val="none"/>
          <w:lang w:val="en-US" w:eastAsia="zh-CN"/>
        </w:rPr>
        <w:t>23.056</w:t>
      </w:r>
      <w:r>
        <w:rPr>
          <w:rFonts w:ascii="仿宋" w:hAnsi="仿宋" w:eastAsia="仿宋" w:cs="仿宋"/>
          <w:color w:val="auto"/>
          <w:position w:val="1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项目承担单位：皮山县</w:t>
      </w:r>
      <w:r>
        <w:rPr>
          <w:rFonts w:hint="eastAsia" w:ascii="仿宋" w:hAnsi="仿宋" w:eastAsia="仿宋" w:cs="仿宋"/>
          <w:color w:val="auto"/>
          <w:position w:val="10"/>
          <w:sz w:val="32"/>
          <w:szCs w:val="32"/>
          <w:highlight w:val="none"/>
          <w:lang w:val="en-US" w:eastAsia="zh-CN"/>
        </w:rPr>
        <w:t>藏桂乡</w:t>
      </w:r>
      <w:r>
        <w:rPr>
          <w:rFonts w:ascii="仿宋" w:hAnsi="仿宋" w:eastAsia="仿宋" w:cs="仿宋"/>
          <w:color w:val="auto"/>
          <w:position w:val="10"/>
          <w:sz w:val="32"/>
          <w:szCs w:val="32"/>
          <w:highlight w:val="none"/>
        </w:rPr>
        <w:t>卫生院。</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资金分配情况：基本药物工作经费。</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资金执行时间：2023年1月1日</w:t>
      </w:r>
      <w:r>
        <w:rPr>
          <w:rFonts w:hint="eastAsia" w:ascii="仿宋" w:hAnsi="仿宋" w:eastAsia="仿宋" w:cs="仿宋"/>
          <w:color w:val="auto"/>
          <w:position w:val="10"/>
          <w:sz w:val="32"/>
          <w:szCs w:val="32"/>
          <w:highlight w:val="none"/>
          <w:lang w:eastAsia="zh-CN"/>
        </w:rPr>
        <w:t>至</w:t>
      </w:r>
      <w:r>
        <w:rPr>
          <w:rFonts w:ascii="仿宋" w:hAnsi="仿宋" w:eastAsia="仿宋" w:cs="仿宋"/>
          <w:color w:val="auto"/>
          <w:position w:val="10"/>
          <w:sz w:val="32"/>
          <w:szCs w:val="32"/>
          <w:highlight w:val="none"/>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3.项目名称：2023年国家基本公共卫生自治区（第一批）补助资金。</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设立的政策依据：和地财社</w:t>
      </w:r>
      <w:r>
        <w:rPr>
          <w:rFonts w:hint="eastAsia" w:ascii="仿宋" w:hAnsi="仿宋" w:eastAsia="仿宋" w:cs="仿宋"/>
          <w:color w:val="auto"/>
          <w:position w:val="10"/>
          <w:sz w:val="32"/>
          <w:szCs w:val="32"/>
          <w:highlight w:val="none"/>
          <w:lang w:eastAsia="zh-CN"/>
        </w:rPr>
        <w:t>〔2022〕73号</w:t>
      </w:r>
      <w:r>
        <w:rPr>
          <w:rFonts w:ascii="仿宋" w:hAnsi="仿宋" w:eastAsia="仿宋" w:cs="仿宋"/>
          <w:color w:val="auto"/>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预算安排规模：</w:t>
      </w:r>
      <w:r>
        <w:rPr>
          <w:rFonts w:hint="eastAsia" w:ascii="仿宋" w:hAnsi="仿宋" w:eastAsia="仿宋" w:cs="仿宋"/>
          <w:color w:val="auto"/>
          <w:position w:val="10"/>
          <w:sz w:val="32"/>
          <w:szCs w:val="32"/>
          <w:highlight w:val="none"/>
          <w:lang w:val="en-US" w:eastAsia="zh-CN"/>
        </w:rPr>
        <w:t>31.15672</w:t>
      </w:r>
      <w:r>
        <w:rPr>
          <w:rFonts w:ascii="仿宋" w:hAnsi="仿宋" w:eastAsia="仿宋" w:cs="仿宋"/>
          <w:color w:val="auto"/>
          <w:position w:val="1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项目承担单位：皮山县</w:t>
      </w:r>
      <w:r>
        <w:rPr>
          <w:rFonts w:hint="eastAsia" w:ascii="仿宋" w:hAnsi="仿宋" w:eastAsia="仿宋" w:cs="仿宋"/>
          <w:color w:val="auto"/>
          <w:position w:val="10"/>
          <w:sz w:val="32"/>
          <w:szCs w:val="32"/>
          <w:highlight w:val="none"/>
          <w:lang w:val="en-US" w:eastAsia="zh-CN"/>
        </w:rPr>
        <w:t>藏桂乡</w:t>
      </w:r>
      <w:r>
        <w:rPr>
          <w:rFonts w:ascii="仿宋" w:hAnsi="仿宋" w:eastAsia="仿宋" w:cs="仿宋"/>
          <w:color w:val="auto"/>
          <w:position w:val="10"/>
          <w:sz w:val="32"/>
          <w:szCs w:val="32"/>
          <w:highlight w:val="none"/>
        </w:rPr>
        <w:t>卫生院。</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资金分配情况：基本公共卫生工作经费。</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资金执行时间：2023年1月1日</w:t>
      </w:r>
      <w:r>
        <w:rPr>
          <w:rFonts w:hint="eastAsia" w:ascii="仿宋" w:hAnsi="仿宋" w:eastAsia="仿宋" w:cs="仿宋"/>
          <w:color w:val="auto"/>
          <w:position w:val="10"/>
          <w:sz w:val="32"/>
          <w:szCs w:val="32"/>
          <w:highlight w:val="none"/>
          <w:lang w:eastAsia="zh-CN"/>
        </w:rPr>
        <w:t>至</w:t>
      </w:r>
      <w:r>
        <w:rPr>
          <w:rFonts w:ascii="仿宋" w:hAnsi="仿宋" w:eastAsia="仿宋" w:cs="仿宋"/>
          <w:color w:val="auto"/>
          <w:position w:val="10"/>
          <w:sz w:val="32"/>
          <w:szCs w:val="32"/>
          <w:highlight w:val="none"/>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4.项目名称：2023年下达中央重大传染病防治补助资金。</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设立的政策依据：和地财社</w:t>
      </w:r>
      <w:r>
        <w:rPr>
          <w:rFonts w:hint="eastAsia" w:ascii="仿宋" w:hAnsi="仿宋" w:eastAsia="仿宋" w:cs="仿宋"/>
          <w:color w:val="auto"/>
          <w:position w:val="10"/>
          <w:sz w:val="32"/>
          <w:szCs w:val="32"/>
          <w:highlight w:val="none"/>
          <w:lang w:eastAsia="zh-CN"/>
        </w:rPr>
        <w:t>〔2022〕76号</w:t>
      </w:r>
      <w:r>
        <w:rPr>
          <w:rFonts w:ascii="仿宋" w:hAnsi="仿宋" w:eastAsia="仿宋" w:cs="仿宋"/>
          <w:color w:val="auto"/>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预算安排规模：</w:t>
      </w:r>
      <w:r>
        <w:rPr>
          <w:rFonts w:hint="eastAsia" w:ascii="仿宋" w:hAnsi="仿宋" w:eastAsia="仿宋" w:cs="仿宋"/>
          <w:color w:val="auto"/>
          <w:position w:val="10"/>
          <w:sz w:val="32"/>
          <w:szCs w:val="32"/>
          <w:highlight w:val="none"/>
          <w:lang w:val="en-US" w:eastAsia="zh-CN"/>
        </w:rPr>
        <w:t>2.83</w:t>
      </w:r>
      <w:r>
        <w:rPr>
          <w:rFonts w:ascii="仿宋" w:hAnsi="仿宋" w:eastAsia="仿宋" w:cs="仿宋"/>
          <w:color w:val="auto"/>
          <w:position w:val="1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项目承担单位：皮山县</w:t>
      </w:r>
      <w:r>
        <w:rPr>
          <w:rFonts w:hint="eastAsia" w:ascii="仿宋" w:hAnsi="仿宋" w:eastAsia="仿宋" w:cs="仿宋"/>
          <w:color w:val="auto"/>
          <w:position w:val="10"/>
          <w:sz w:val="32"/>
          <w:szCs w:val="32"/>
          <w:highlight w:val="none"/>
          <w:lang w:val="en-US" w:eastAsia="zh-CN"/>
        </w:rPr>
        <w:t>藏桂乡</w:t>
      </w:r>
      <w:r>
        <w:rPr>
          <w:rFonts w:ascii="仿宋" w:hAnsi="仿宋" w:eastAsia="仿宋" w:cs="仿宋"/>
          <w:color w:val="auto"/>
          <w:position w:val="10"/>
          <w:sz w:val="32"/>
          <w:szCs w:val="32"/>
          <w:highlight w:val="none"/>
        </w:rPr>
        <w:t>卫生院。</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资金分配情况：中央重大传染病防治工作经费。</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资金执行时间：2023年1月1日</w:t>
      </w:r>
      <w:r>
        <w:rPr>
          <w:rFonts w:hint="eastAsia" w:ascii="仿宋" w:hAnsi="仿宋" w:eastAsia="仿宋" w:cs="仿宋"/>
          <w:color w:val="auto"/>
          <w:position w:val="10"/>
          <w:sz w:val="32"/>
          <w:szCs w:val="32"/>
          <w:highlight w:val="none"/>
          <w:lang w:eastAsia="zh-CN"/>
        </w:rPr>
        <w:t>至</w:t>
      </w:r>
      <w:r>
        <w:rPr>
          <w:rFonts w:ascii="仿宋" w:hAnsi="仿宋" w:eastAsia="仿宋" w:cs="仿宋"/>
          <w:color w:val="auto"/>
          <w:position w:val="10"/>
          <w:sz w:val="32"/>
          <w:szCs w:val="32"/>
          <w:highlight w:val="none"/>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5.项目名称：2023年自治区村医补助资金。</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设立的政策依据：和地财社</w:t>
      </w:r>
      <w:r>
        <w:rPr>
          <w:rFonts w:hint="eastAsia" w:ascii="仿宋" w:hAnsi="仿宋" w:eastAsia="仿宋" w:cs="仿宋"/>
          <w:color w:val="auto"/>
          <w:position w:val="10"/>
          <w:sz w:val="32"/>
          <w:szCs w:val="32"/>
          <w:highlight w:val="none"/>
          <w:lang w:eastAsia="zh-CN"/>
        </w:rPr>
        <w:t>〔2022〕78号</w:t>
      </w:r>
      <w:r>
        <w:rPr>
          <w:rFonts w:ascii="仿宋" w:hAnsi="仿宋" w:eastAsia="仿宋" w:cs="仿宋"/>
          <w:color w:val="auto"/>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预算安排规模：</w:t>
      </w:r>
      <w:r>
        <w:rPr>
          <w:rFonts w:hint="eastAsia" w:ascii="仿宋" w:hAnsi="仿宋" w:eastAsia="仿宋" w:cs="仿宋"/>
          <w:color w:val="auto"/>
          <w:position w:val="10"/>
          <w:sz w:val="32"/>
          <w:szCs w:val="32"/>
          <w:highlight w:val="none"/>
          <w:lang w:val="en-US" w:eastAsia="zh-CN"/>
        </w:rPr>
        <w:t>29.376</w:t>
      </w:r>
      <w:r>
        <w:rPr>
          <w:rFonts w:ascii="仿宋" w:hAnsi="仿宋" w:eastAsia="仿宋" w:cs="仿宋"/>
          <w:color w:val="auto"/>
          <w:position w:val="1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项目承担单位：皮山县</w:t>
      </w:r>
      <w:r>
        <w:rPr>
          <w:rFonts w:hint="eastAsia" w:ascii="仿宋" w:hAnsi="仿宋" w:eastAsia="仿宋" w:cs="仿宋"/>
          <w:color w:val="auto"/>
          <w:position w:val="10"/>
          <w:sz w:val="32"/>
          <w:szCs w:val="32"/>
          <w:highlight w:val="none"/>
          <w:lang w:val="en-US" w:eastAsia="zh-CN"/>
        </w:rPr>
        <w:t>藏桂乡</w:t>
      </w:r>
      <w:r>
        <w:rPr>
          <w:rFonts w:ascii="仿宋" w:hAnsi="仿宋" w:eastAsia="仿宋" w:cs="仿宋"/>
          <w:color w:val="auto"/>
          <w:position w:val="10"/>
          <w:sz w:val="32"/>
          <w:szCs w:val="32"/>
          <w:highlight w:val="none"/>
        </w:rPr>
        <w:t>卫生院。</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资金分配情况：村医工资。</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资金执行时间：2023年1月1日</w:t>
      </w:r>
      <w:r>
        <w:rPr>
          <w:rFonts w:hint="eastAsia" w:ascii="仿宋" w:hAnsi="仿宋" w:eastAsia="仿宋" w:cs="仿宋"/>
          <w:color w:val="auto"/>
          <w:position w:val="10"/>
          <w:sz w:val="32"/>
          <w:szCs w:val="32"/>
          <w:highlight w:val="none"/>
          <w:lang w:eastAsia="zh-CN"/>
        </w:rPr>
        <w:t>至</w:t>
      </w:r>
      <w:r>
        <w:rPr>
          <w:rFonts w:ascii="仿宋" w:hAnsi="仿宋" w:eastAsia="仿宋" w:cs="仿宋"/>
          <w:color w:val="auto"/>
          <w:position w:val="10"/>
          <w:sz w:val="32"/>
          <w:szCs w:val="32"/>
          <w:highlight w:val="none"/>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6.项目名称：2023年自治区（地方公共卫生）全民体检补助资金。</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设立的政策依据：和地财社</w:t>
      </w:r>
      <w:r>
        <w:rPr>
          <w:rFonts w:hint="eastAsia" w:ascii="仿宋" w:hAnsi="仿宋" w:eastAsia="仿宋" w:cs="仿宋"/>
          <w:color w:val="auto"/>
          <w:position w:val="10"/>
          <w:sz w:val="32"/>
          <w:szCs w:val="32"/>
          <w:highlight w:val="none"/>
          <w:lang w:eastAsia="zh-CN"/>
        </w:rPr>
        <w:t>〔2022〕79号</w:t>
      </w:r>
      <w:r>
        <w:rPr>
          <w:rFonts w:ascii="仿宋" w:hAnsi="仿宋" w:eastAsia="仿宋" w:cs="仿宋"/>
          <w:color w:val="auto"/>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预算安排规模：</w:t>
      </w:r>
      <w:r>
        <w:rPr>
          <w:rFonts w:hint="eastAsia" w:ascii="仿宋" w:hAnsi="仿宋" w:eastAsia="仿宋" w:cs="仿宋"/>
          <w:color w:val="auto"/>
          <w:position w:val="10"/>
          <w:sz w:val="32"/>
          <w:szCs w:val="32"/>
          <w:highlight w:val="none"/>
          <w:lang w:val="en-US" w:eastAsia="zh-CN"/>
        </w:rPr>
        <w:t>96.8788</w:t>
      </w:r>
      <w:r>
        <w:rPr>
          <w:rFonts w:ascii="仿宋" w:hAnsi="仿宋" w:eastAsia="仿宋" w:cs="仿宋"/>
          <w:color w:val="auto"/>
          <w:position w:val="1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项目承担单位：皮山县</w:t>
      </w:r>
      <w:r>
        <w:rPr>
          <w:rFonts w:hint="eastAsia" w:ascii="仿宋" w:hAnsi="仿宋" w:eastAsia="仿宋" w:cs="仿宋"/>
          <w:color w:val="auto"/>
          <w:position w:val="10"/>
          <w:sz w:val="32"/>
          <w:szCs w:val="32"/>
          <w:highlight w:val="none"/>
          <w:lang w:val="en-US" w:eastAsia="zh-CN"/>
        </w:rPr>
        <w:t>藏桂乡</w:t>
      </w:r>
      <w:r>
        <w:rPr>
          <w:rFonts w:ascii="仿宋" w:hAnsi="仿宋" w:eastAsia="仿宋" w:cs="仿宋"/>
          <w:color w:val="auto"/>
          <w:position w:val="10"/>
          <w:sz w:val="32"/>
          <w:szCs w:val="32"/>
          <w:highlight w:val="none"/>
        </w:rPr>
        <w:t>卫生院。</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none"/>
        </w:rPr>
      </w:pPr>
      <w:r>
        <w:rPr>
          <w:rFonts w:ascii="仿宋" w:hAnsi="仿宋" w:eastAsia="仿宋" w:cs="仿宋"/>
          <w:color w:val="auto"/>
          <w:position w:val="10"/>
          <w:sz w:val="32"/>
          <w:szCs w:val="32"/>
          <w:highlight w:val="none"/>
        </w:rPr>
        <w:t>资金分配情况：全民体检工作经费。</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color w:val="auto"/>
          <w:sz w:val="32"/>
          <w:szCs w:val="32"/>
          <w:highlight w:val="yellow"/>
        </w:rPr>
      </w:pPr>
      <w:r>
        <w:rPr>
          <w:rFonts w:ascii="仿宋" w:hAnsi="仿宋" w:eastAsia="仿宋" w:cs="仿宋"/>
          <w:color w:val="auto"/>
          <w:position w:val="10"/>
          <w:sz w:val="32"/>
          <w:szCs w:val="32"/>
          <w:highlight w:val="none"/>
        </w:rPr>
        <w:t>资金执行时间：2023年1月1日</w:t>
      </w:r>
      <w:r>
        <w:rPr>
          <w:rFonts w:hint="eastAsia" w:ascii="仿宋" w:hAnsi="仿宋" w:eastAsia="仿宋" w:cs="仿宋"/>
          <w:color w:val="auto"/>
          <w:position w:val="10"/>
          <w:sz w:val="32"/>
          <w:szCs w:val="32"/>
          <w:highlight w:val="none"/>
          <w:lang w:eastAsia="zh-CN"/>
        </w:rPr>
        <w:t>至</w:t>
      </w:r>
      <w:r>
        <w:rPr>
          <w:rFonts w:ascii="仿宋" w:hAnsi="仿宋" w:eastAsia="仿宋" w:cs="仿宋"/>
          <w:color w:val="auto"/>
          <w:position w:val="10"/>
          <w:sz w:val="32"/>
          <w:szCs w:val="32"/>
          <w:highlight w:val="none"/>
        </w:rPr>
        <w:t>2023年12月31日。</w:t>
      </w:r>
    </w:p>
    <w:p>
      <w:pPr>
        <w:keepNext w:val="0"/>
        <w:keepLines w:val="0"/>
        <w:pageBreakBefore w:val="0"/>
        <w:widowControl w:val="0"/>
        <w:kinsoku/>
        <w:wordWrap/>
        <w:overflowPunct/>
        <w:topLinePunct w:val="0"/>
        <w:autoSpaceDE/>
        <w:autoSpaceDN/>
        <w:bidi w:val="0"/>
        <w:adjustRightInd/>
        <w:snapToGrid/>
        <w:spacing w:before="150" w:line="560" w:lineRule="exact"/>
        <w:ind w:left="200" w:right="0" w:firstLine="640" w:firstLineChars="200"/>
        <w:jc w:val="both"/>
        <w:textAlignment w:val="auto"/>
        <w:outlineLvl w:val="9"/>
        <w:rPr>
          <w:sz w:val="32"/>
          <w:szCs w:val="32"/>
        </w:rPr>
      </w:pPr>
      <w:r>
        <w:rPr>
          <w:rFonts w:ascii="黑体" w:hAnsi="黑体" w:eastAsia="黑体" w:cs="黑体"/>
          <w:position w:val="20"/>
          <w:sz w:val="32"/>
          <w:szCs w:val="32"/>
        </w:rPr>
        <w:t>八、关于皮山县藏桂乡卫生院2023年政府性基金预算拨款情况说明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皮山县藏桂乡卫生院2023年没有使用政府性基金预算拨款安排的支出，政府性基金预算支出情况表为空表。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0" w:firstLine="640" w:firstLineChars="200"/>
        <w:jc w:val="both"/>
        <w:textAlignment w:val="auto"/>
        <w:outlineLvl w:val="9"/>
        <w:rPr>
          <w:sz w:val="32"/>
          <w:szCs w:val="32"/>
        </w:rPr>
      </w:pPr>
      <w:r>
        <w:rPr>
          <w:rFonts w:ascii="黑体" w:hAnsi="黑体" w:eastAsia="黑体" w:cs="黑体"/>
          <w:position w:val="20"/>
          <w:sz w:val="32"/>
          <w:szCs w:val="32"/>
        </w:rPr>
        <w:t>九、关于皮山县藏桂乡卫生院2023年国有资本经营预算拨款情况说明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皮山县藏桂乡卫生院2023年没有使用国有资本经营预算拨款安排的支出，国有资本经营预算支出情况表为空表。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0" w:firstLine="640" w:firstLineChars="200"/>
        <w:jc w:val="both"/>
        <w:textAlignment w:val="auto"/>
        <w:outlineLvl w:val="9"/>
        <w:rPr>
          <w:sz w:val="32"/>
          <w:szCs w:val="32"/>
        </w:rPr>
      </w:pPr>
      <w:r>
        <w:rPr>
          <w:rFonts w:ascii="黑体" w:hAnsi="黑体" w:eastAsia="黑体" w:cs="黑体"/>
          <w:position w:val="20"/>
          <w:sz w:val="32"/>
          <w:szCs w:val="32"/>
        </w:rPr>
        <w:t>十、关于皮山县藏桂乡卫生院2023年财政拨款“三公”经费预算情况说明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皮山县藏桂乡卫生院2023年财政拨款“三公”经费数为0万元，其中：因公出国（境）费0万元，公务用车购置费0万元，公务用车运行费0万元，公务接待费0万元。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200" w:right="0" w:firstLine="640" w:firstLineChars="2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2023年，皮山县藏桂乡卫生院本级及下属0家行政单位和0家事业单位的机关运行经费财政拨款预算00万元，比上年预算增加0万元，增长100.00%。主要原因是无。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2023年，皮山县藏桂乡卫生院政府采购预算0万元，其中：政府采购货物预算0万元，政府采购工程预算0万元，政府采购服务预算0万元。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2023年度</w:t>
      </w:r>
      <w:r>
        <w:rPr>
          <w:rFonts w:hint="eastAsia" w:ascii="仿宋" w:hAnsi="仿宋" w:eastAsia="仿宋" w:cs="仿宋"/>
          <w:position w:val="10"/>
          <w:sz w:val="32"/>
          <w:szCs w:val="32"/>
          <w:lang w:eastAsia="zh-CN"/>
        </w:rPr>
        <w:t>本部门</w:t>
      </w:r>
      <w:r>
        <w:rPr>
          <w:rFonts w:ascii="仿宋" w:hAnsi="仿宋" w:eastAsia="仿宋" w:cs="仿宋"/>
          <w:position w:val="10"/>
          <w:sz w:val="32"/>
          <w:szCs w:val="32"/>
        </w:rPr>
        <w:t>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截至2022年底，皮山县藏桂乡卫生院及下属各</w:t>
      </w:r>
      <w:r>
        <w:rPr>
          <w:rFonts w:hint="eastAsia" w:ascii="仿宋" w:hAnsi="仿宋" w:eastAsia="仿宋" w:cs="仿宋"/>
          <w:position w:val="10"/>
          <w:sz w:val="32"/>
          <w:szCs w:val="32"/>
          <w:lang w:eastAsia="zh-CN"/>
        </w:rPr>
        <w:t>预算部门</w:t>
      </w:r>
      <w:r>
        <w:rPr>
          <w:rFonts w:ascii="仿宋" w:hAnsi="仿宋" w:eastAsia="仿宋" w:cs="仿宋"/>
          <w:position w:val="10"/>
          <w:sz w:val="32"/>
          <w:szCs w:val="32"/>
        </w:rPr>
        <w:t>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1.房屋5577.68平方米，价值953.28万元。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2.车辆2辆，价值77.93万元；其中：一般公务用车0辆，价值0万元；执法执勤用车0辆，价值0万元；其他车辆2辆，价值77.93万元。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3.办公家具价值236.21万元。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4.其他资产价值104.32万元。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0" w:firstLine="640" w:firstLineChars="200"/>
        <w:jc w:val="both"/>
        <w:textAlignment w:val="auto"/>
        <w:outlineLvl w:val="9"/>
        <w:rPr>
          <w:sz w:val="32"/>
          <w:szCs w:val="32"/>
        </w:rPr>
      </w:pPr>
      <w:r>
        <w:rPr>
          <w:rFonts w:ascii="黑体" w:hAnsi="黑体" w:eastAsia="黑体" w:cs="黑体"/>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2023年</w:t>
      </w:r>
      <w:r>
        <w:rPr>
          <w:rFonts w:hint="eastAsia" w:ascii="仿宋" w:hAnsi="仿宋" w:eastAsia="仿宋" w:cs="仿宋"/>
          <w:position w:val="10"/>
          <w:sz w:val="32"/>
          <w:szCs w:val="32"/>
          <w:lang w:eastAsia="zh-CN"/>
        </w:rPr>
        <w:t>，</w:t>
      </w:r>
      <w:r>
        <w:rPr>
          <w:rFonts w:ascii="仿宋" w:hAnsi="仿宋" w:eastAsia="仿宋" w:cs="仿宋"/>
          <w:position w:val="10"/>
          <w:sz w:val="32"/>
          <w:szCs w:val="32"/>
        </w:rPr>
        <w:t>本年度预算绩效管理的财政拨款项目6个，涉及预算金额302.214144万元；非财政拨款项目0个，涉及预算金额0万元。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200" w:right="0" w:firstLine="640" w:firstLineChars="200"/>
        <w:jc w:val="both"/>
        <w:textAlignment w:val="auto"/>
        <w:outlineLvl w:val="9"/>
        <w:rPr>
          <w:sz w:val="32"/>
          <w:szCs w:val="32"/>
        </w:rPr>
      </w:pPr>
      <w:r>
        <w:rPr>
          <w:rFonts w:ascii="仿宋" w:hAnsi="仿宋" w:eastAsia="仿宋" w:cs="仿宋"/>
          <w:position w:val="10"/>
          <w:sz w:val="32"/>
          <w:szCs w:val="32"/>
        </w:rPr>
        <w:t>具体情况见下表（按项目分别填报）：</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lang w:val="en-US" w:eastAsia="zh-CN" w:bidi="ar-SA"/>
        </w:rPr>
      </w:pP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699"/>
        <w:gridCol w:w="1757"/>
        <w:gridCol w:w="1636"/>
        <w:gridCol w:w="918"/>
        <w:gridCol w:w="777"/>
        <w:gridCol w:w="821"/>
        <w:gridCol w:w="718"/>
        <w:gridCol w:w="525"/>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rPr>
                <w:sz w:val="24"/>
                <w:szCs w:val="28"/>
              </w:rPr>
            </w:pPr>
            <w:r>
              <w:rPr>
                <w:rFonts w:ascii="仿宋" w:hAnsi="仿宋" w:eastAsia="仿宋" w:cs="仿宋"/>
                <w:position w:val="8"/>
                <w:sz w:val="28"/>
                <w:szCs w:val="36"/>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24"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仿宋"/>
                <w:sz w:val="24"/>
                <w:szCs w:val="28"/>
                <w:lang w:eastAsia="zh-CN"/>
              </w:rPr>
            </w:pPr>
            <w:r>
              <w:rPr>
                <w:rFonts w:ascii="仿宋" w:hAnsi="仿宋" w:eastAsia="仿宋" w:cs="仿宋"/>
                <w:position w:val="8"/>
                <w:sz w:val="22"/>
                <w:szCs w:val="28"/>
              </w:rPr>
              <w:t>预算</w:t>
            </w:r>
            <w:r>
              <w:rPr>
                <w:rFonts w:hint="eastAsia" w:ascii="仿宋" w:hAnsi="仿宋" w:eastAsia="仿宋" w:cs="仿宋"/>
                <w:position w:val="8"/>
                <w:sz w:val="22"/>
                <w:szCs w:val="28"/>
                <w:lang w:val="en-US" w:eastAsia="zh-CN"/>
              </w:rPr>
              <w:t>部门</w:t>
            </w:r>
          </w:p>
        </w:tc>
        <w:tc>
          <w:tcPr>
            <w:tcW w:w="7152" w:type="dxa"/>
            <w:gridSpan w:val="7"/>
            <w:tcBorders>
              <w:top w:val="single" w:color="auto" w:sz="0" w:space="0"/>
              <w:left w:val="single" w:color="auto" w:sz="0" w:space="0"/>
              <w:bottom w:val="single" w:color="auto" w:sz="0" w:space="0"/>
              <w:right w:val="single" w:color="auto" w:sz="0" w:space="0"/>
            </w:tcBorders>
            <w:vAlign w:val="center"/>
          </w:tcPr>
          <w:p>
            <w:pPr>
              <w:ind w:left="30"/>
              <w:jc w:val="center"/>
              <w:rPr>
                <w:sz w:val="24"/>
                <w:szCs w:val="28"/>
              </w:rPr>
            </w:pPr>
            <w:r>
              <w:rPr>
                <w:rFonts w:ascii="仿宋" w:hAnsi="仿宋" w:eastAsia="仿宋" w:cs="仿宋"/>
                <w:position w:val="8"/>
                <w:sz w:val="22"/>
                <w:szCs w:val="28"/>
              </w:rPr>
              <w:t>皮山县</w:t>
            </w:r>
            <w:r>
              <w:rPr>
                <w:rFonts w:hint="eastAsia" w:ascii="仿宋" w:hAnsi="仿宋" w:eastAsia="仿宋" w:cs="仿宋"/>
                <w:position w:val="8"/>
                <w:sz w:val="22"/>
                <w:szCs w:val="28"/>
                <w:lang w:val="en-US" w:eastAsia="zh-CN"/>
              </w:rPr>
              <w:t>藏桂乡</w:t>
            </w:r>
            <w:r>
              <w:rPr>
                <w:rFonts w:ascii="仿宋" w:hAnsi="仿宋" w:eastAsia="仿宋" w:cs="仿宋"/>
                <w:position w:val="8"/>
                <w:sz w:val="22"/>
                <w:szCs w:val="28"/>
              </w:rPr>
              <w:t>卫生院</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2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3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2023年自治区医疗服务与保障能力提升（卫生健康人才培养）补助资金和地财社</w:t>
            </w:r>
            <w:r>
              <w:rPr>
                <w:rFonts w:hint="eastAsia" w:ascii="仿宋" w:hAnsi="仿宋" w:eastAsia="仿宋" w:cs="仿宋"/>
                <w:position w:val="8"/>
                <w:sz w:val="20"/>
                <w:lang w:eastAsia="zh-CN"/>
              </w:rPr>
              <w:t>〔2022〕78号</w:t>
            </w:r>
          </w:p>
        </w:tc>
        <w:tc>
          <w:tcPr>
            <w:tcW w:w="159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24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宋体" w:hAnsi="宋体" w:cs="宋体"/>
                <w:i w:val="0"/>
                <w:iCs w:val="0"/>
                <w:color w:val="000000"/>
                <w:sz w:val="20"/>
                <w:szCs w:val="20"/>
                <w:u w:val="none"/>
                <w:lang w:eastAsia="zh-CN"/>
              </w:rPr>
              <w:t>美合日古丽，依孜巴克</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2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29.37</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val="en-US" w:eastAsia="zh-CN"/>
              </w:rPr>
              <w:t>29.37</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24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2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152"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1.确保单位村医生工资、津贴、福利等正常发放；
2.贯彻落实好自治区及地区疫情防控指挥部的对疫情防控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医疗服务与保障能力提升（卫生健康人才培养）补助经费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≥285120</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医疗服务与保障能力提升（卫生健康人才培养）补助经费节约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7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bl>
    <w:p>
      <w:r>
        <w:br w:type="page"/>
      </w:r>
    </w:p>
    <w:tbl>
      <w:tblPr>
        <w:tblStyle w:val="3"/>
        <w:tblW w:w="871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6"/>
        <w:gridCol w:w="1327"/>
        <w:gridCol w:w="2096"/>
        <w:gridCol w:w="1229"/>
        <w:gridCol w:w="1121"/>
        <w:gridCol w:w="596"/>
        <w:gridCol w:w="543"/>
        <w:gridCol w:w="956"/>
        <w:gridCol w:w="584"/>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8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63"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仿宋"/>
                <w:lang w:eastAsia="zh-CN"/>
              </w:rPr>
            </w:pPr>
            <w:r>
              <w:rPr>
                <w:rFonts w:ascii="仿宋" w:hAnsi="仿宋" w:eastAsia="仿宋" w:cs="仿宋"/>
                <w:position w:val="8"/>
                <w:sz w:val="20"/>
              </w:rPr>
              <w:t>预算</w:t>
            </w:r>
            <w:r>
              <w:rPr>
                <w:rFonts w:hint="eastAsia" w:ascii="仿宋" w:hAnsi="仿宋" w:eastAsia="仿宋" w:cs="仿宋"/>
                <w:position w:val="8"/>
                <w:sz w:val="20"/>
                <w:lang w:val="en-US" w:eastAsia="zh-CN"/>
              </w:rPr>
              <w:t>部门</w:t>
            </w:r>
          </w:p>
        </w:tc>
        <w:tc>
          <w:tcPr>
            <w:tcW w:w="712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w:t>
            </w:r>
            <w:r>
              <w:rPr>
                <w:rFonts w:hint="eastAsia" w:ascii="仿宋" w:hAnsi="仿宋" w:eastAsia="仿宋" w:cs="仿宋"/>
                <w:position w:val="8"/>
                <w:sz w:val="20"/>
                <w:lang w:val="en-US" w:eastAsia="zh-CN"/>
              </w:rPr>
              <w:t>藏桂乡</w:t>
            </w:r>
            <w:r>
              <w:rPr>
                <w:rFonts w:ascii="仿宋" w:hAnsi="仿宋" w:eastAsia="仿宋" w:cs="仿宋"/>
                <w:position w:val="8"/>
                <w:sz w:val="20"/>
              </w:rPr>
              <w:t>卫生院</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44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2023年自治区公共卫生服务（地方公共卫生）补助资金和地财社</w:t>
            </w:r>
            <w:r>
              <w:rPr>
                <w:rFonts w:hint="eastAsia" w:ascii="仿宋" w:hAnsi="仿宋" w:eastAsia="仿宋" w:cs="仿宋"/>
                <w:position w:val="8"/>
                <w:sz w:val="20"/>
                <w:lang w:eastAsia="zh-CN"/>
              </w:rPr>
              <w:t>〔2022〕70号</w:t>
            </w:r>
          </w:p>
        </w:tc>
        <w:tc>
          <w:tcPr>
            <w:tcW w:w="11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4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宋体" w:hAnsi="宋体" w:cs="宋体"/>
                <w:i w:val="0"/>
                <w:iCs w:val="0"/>
                <w:color w:val="000000"/>
                <w:sz w:val="20"/>
                <w:szCs w:val="20"/>
                <w:u w:val="none"/>
                <w:lang w:eastAsia="zh-CN"/>
              </w:rPr>
              <w:t>美合日古丽，依孜巴克</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22.19</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val="en-US" w:eastAsia="zh-CN"/>
              </w:rPr>
              <w:t>22.19</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4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125"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1.确保单位全民免费健康体检临聘人员工资、津贴、福利等正常发放；
2.贯彻落实好自治区及地区全民免费健康体检工作的安排部署，提升健康体检能力；加强健康教育宣传力度，提高广大人民群众的防病意识；完成自治区及地区下发疾病预防，基本公共卫生，基本医疗任务的各项指标，强化疫情监测和报告工作，规范各项防控工作；加强全民免费健康体检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公共卫生服务（地方公共卫生）补助经费</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≥784604</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公共卫生服务（地方公共卫生）补助经费节约</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0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bl>
    <w:p>
      <w:r>
        <w:br w:type="page"/>
      </w:r>
    </w:p>
    <w:tbl>
      <w:tblPr>
        <w:tblStyle w:val="3"/>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78"/>
        <w:gridCol w:w="987"/>
        <w:gridCol w:w="1265"/>
        <w:gridCol w:w="1636"/>
        <w:gridCol w:w="1006"/>
        <w:gridCol w:w="821"/>
        <w:gridCol w:w="892"/>
        <w:gridCol w:w="806"/>
        <w:gridCol w:w="578"/>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69"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69"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65"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仿宋"/>
                <w:lang w:eastAsia="zh-CN"/>
              </w:rPr>
            </w:pPr>
            <w:r>
              <w:rPr>
                <w:rFonts w:ascii="仿宋" w:hAnsi="仿宋" w:eastAsia="仿宋" w:cs="仿宋"/>
                <w:position w:val="8"/>
                <w:sz w:val="20"/>
              </w:rPr>
              <w:t>预算</w:t>
            </w:r>
            <w:r>
              <w:rPr>
                <w:rFonts w:hint="eastAsia" w:ascii="仿宋" w:hAnsi="仿宋" w:eastAsia="仿宋" w:cs="仿宋"/>
                <w:position w:val="8"/>
                <w:sz w:val="20"/>
                <w:lang w:val="en-US" w:eastAsia="zh-CN"/>
              </w:rPr>
              <w:t>部门</w:t>
            </w:r>
          </w:p>
        </w:tc>
        <w:tc>
          <w:tcPr>
            <w:tcW w:w="7004"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w:t>
            </w:r>
            <w:r>
              <w:rPr>
                <w:rFonts w:hint="eastAsia" w:ascii="仿宋" w:hAnsi="仿宋" w:eastAsia="仿宋" w:cs="仿宋"/>
                <w:position w:val="8"/>
                <w:sz w:val="20"/>
                <w:lang w:val="en-US" w:eastAsia="zh-CN"/>
              </w:rPr>
              <w:t>藏桂乡</w:t>
            </w:r>
            <w:r>
              <w:rPr>
                <w:rFonts w:ascii="仿宋" w:hAnsi="仿宋" w:eastAsia="仿宋" w:cs="仿宋"/>
                <w:position w:val="8"/>
                <w:sz w:val="20"/>
              </w:rPr>
              <w:t>卫生院</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0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〔2022〕74号</w:t>
            </w:r>
          </w:p>
        </w:tc>
        <w:tc>
          <w:tcPr>
            <w:tcW w:w="171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3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宋体" w:hAnsi="宋体" w:cs="宋体"/>
                <w:i w:val="0"/>
                <w:iCs w:val="0"/>
                <w:color w:val="000000"/>
                <w:sz w:val="20"/>
                <w:szCs w:val="20"/>
                <w:u w:val="none"/>
                <w:lang w:eastAsia="zh-CN"/>
              </w:rPr>
              <w:t>美合日古丽，依孜巴克</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23.56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val="en-US" w:eastAsia="zh-CN"/>
              </w:rPr>
              <w:t>23.56</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3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04"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1.确保单位村医生基本药物制度补助劳务费等正常发放；
2.贯彻落实好中央、自治区及地区对基本药物制度补助工作的安排部署，提升疾病疫情防控能力；加强健康教育宣传力度，提高广大人民群众的防病意识；完成中央、自治区及地区下发疾病预防，基本公共卫生，基本医疗任务的各项指标，强化疫情监测和报告工作，规范各项防控工作；加强疾病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基本药物制度补助经费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≥197570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基本药物制度补助经费节约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2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bl>
    <w:p>
      <w:r>
        <w:br w:type="page"/>
      </w:r>
    </w:p>
    <w:tbl>
      <w:tblPr>
        <w:tblStyle w:val="3"/>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91"/>
        <w:gridCol w:w="915"/>
        <w:gridCol w:w="1197"/>
        <w:gridCol w:w="1636"/>
        <w:gridCol w:w="1028"/>
        <w:gridCol w:w="873"/>
        <w:gridCol w:w="910"/>
        <w:gridCol w:w="828"/>
        <w:gridCol w:w="591"/>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69"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2"/>
                <w:szCs w:val="28"/>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69"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06"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706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w:t>
            </w:r>
            <w:r>
              <w:rPr>
                <w:rFonts w:hint="eastAsia" w:ascii="仿宋" w:hAnsi="仿宋" w:eastAsia="仿宋" w:cs="仿宋"/>
                <w:position w:val="8"/>
                <w:sz w:val="20"/>
                <w:lang w:val="en-US" w:eastAsia="zh-CN"/>
              </w:rPr>
              <w:t>藏桂乡</w:t>
            </w:r>
            <w:r>
              <w:rPr>
                <w:rFonts w:ascii="仿宋" w:hAnsi="仿宋" w:eastAsia="仿宋" w:cs="仿宋"/>
                <w:position w:val="8"/>
                <w:sz w:val="20"/>
              </w:rPr>
              <w:t>卫生院</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0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86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2023年基本公共卫生服务中央财政补助资金和地财社</w:t>
            </w:r>
            <w:r>
              <w:rPr>
                <w:rFonts w:hint="eastAsia" w:ascii="仿宋" w:hAnsi="仿宋" w:eastAsia="仿宋" w:cs="仿宋"/>
                <w:position w:val="8"/>
                <w:sz w:val="20"/>
                <w:lang w:eastAsia="zh-CN"/>
              </w:rPr>
              <w:t>〔2022〕73号</w:t>
            </w:r>
          </w:p>
        </w:tc>
        <w:tc>
          <w:tcPr>
            <w:tcW w:w="17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宋体" w:hAnsi="宋体" w:cs="宋体"/>
                <w:i w:val="0"/>
                <w:iCs w:val="0"/>
                <w:color w:val="000000"/>
                <w:sz w:val="20"/>
                <w:szCs w:val="20"/>
                <w:u w:val="none"/>
                <w:lang w:eastAsia="zh-CN"/>
              </w:rPr>
              <w:t>美合日古丽，依孜巴克</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0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118.91</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val="en-US" w:eastAsia="zh-CN"/>
              </w:rPr>
              <w:t>118.91</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0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63"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1.确保单位基本公共卫生服务项目临聘人员工资、津贴、福利等正常发放；
2.贯彻落实好中央、自治区及地区对基本公共卫生服务项目工作的安排部署，提升基本公共卫生服务能力；加强健康教育宣传力度，提高广大人民群众的防病意识；完成中央、自治区及地区下发疾病预防，基本公共卫生，基本医疗任务的各项指标，强化疫情监测和报告工作，规范各项防控工作；加强基本公共卫生服务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≥1007055.99</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bl>
    <w:p>
      <w: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50"/>
        <w:gridCol w:w="898"/>
        <w:gridCol w:w="1373"/>
        <w:gridCol w:w="1636"/>
        <w:gridCol w:w="959"/>
        <w:gridCol w:w="797"/>
        <w:gridCol w:w="854"/>
        <w:gridCol w:w="759"/>
        <w:gridCol w:w="550"/>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48"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6928"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w:t>
            </w:r>
            <w:r>
              <w:rPr>
                <w:rFonts w:hint="eastAsia" w:ascii="仿宋" w:hAnsi="仿宋" w:eastAsia="仿宋" w:cs="仿宋"/>
                <w:position w:val="8"/>
                <w:sz w:val="20"/>
                <w:lang w:val="en-US" w:eastAsia="zh-CN"/>
              </w:rPr>
              <w:t>藏桂乡</w:t>
            </w:r>
            <w:r>
              <w:rPr>
                <w:rFonts w:ascii="仿宋" w:hAnsi="仿宋" w:eastAsia="仿宋" w:cs="仿宋"/>
                <w:position w:val="8"/>
                <w:sz w:val="20"/>
              </w:rPr>
              <w:t>卫生院</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4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6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2023年中央财政重大传染病防治补助资金和地财社</w:t>
            </w:r>
            <w:r>
              <w:rPr>
                <w:rFonts w:hint="eastAsia" w:ascii="仿宋" w:hAnsi="仿宋" w:eastAsia="仿宋" w:cs="仿宋"/>
                <w:position w:val="8"/>
                <w:sz w:val="20"/>
                <w:lang w:eastAsia="zh-CN"/>
              </w:rPr>
              <w:t>〔2022〕76号</w:t>
            </w:r>
          </w:p>
        </w:tc>
        <w:tc>
          <w:tcPr>
            <w:tcW w:w="165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30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宋体" w:hAnsi="宋体" w:cs="宋体"/>
                <w:i w:val="0"/>
                <w:iCs w:val="0"/>
                <w:color w:val="000000"/>
                <w:sz w:val="20"/>
                <w:szCs w:val="20"/>
                <w:u w:val="none"/>
                <w:lang w:eastAsia="zh-CN"/>
              </w:rPr>
              <w:t>美合日古丽，依孜巴克</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4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29.38</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val="en-US" w:eastAsia="zh-CN"/>
              </w:rPr>
              <w:t>29.38</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30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4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28"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贯彻落实好中央、自治区及地区对重大传染病防治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重大传染病防治补助经费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≥25500</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重大传染病防治补助经费节约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3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bl>
    <w:p>
      <w: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77"/>
        <w:gridCol w:w="891"/>
        <w:gridCol w:w="1176"/>
        <w:gridCol w:w="1636"/>
        <w:gridCol w:w="1004"/>
        <w:gridCol w:w="820"/>
        <w:gridCol w:w="891"/>
        <w:gridCol w:w="804"/>
        <w:gridCol w:w="577"/>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8"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6908"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w:t>
            </w:r>
            <w:r>
              <w:rPr>
                <w:rFonts w:hint="eastAsia" w:ascii="仿宋" w:hAnsi="仿宋" w:eastAsia="仿宋" w:cs="仿宋"/>
                <w:position w:val="8"/>
                <w:sz w:val="20"/>
                <w:lang w:val="en-US" w:eastAsia="zh-CN"/>
              </w:rPr>
              <w:t>藏桂乡卫</w:t>
            </w:r>
            <w:r>
              <w:rPr>
                <w:rFonts w:ascii="仿宋" w:hAnsi="仿宋" w:eastAsia="仿宋" w:cs="仿宋"/>
                <w:position w:val="8"/>
                <w:sz w:val="20"/>
              </w:rPr>
              <w:t>生院</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81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2023年自治区公共卫生服务补助资金和地财社</w:t>
            </w:r>
            <w:r>
              <w:rPr>
                <w:rFonts w:hint="eastAsia" w:ascii="仿宋" w:hAnsi="仿宋" w:eastAsia="仿宋" w:cs="仿宋"/>
                <w:position w:val="8"/>
                <w:sz w:val="20"/>
                <w:lang w:eastAsia="zh-CN"/>
              </w:rPr>
              <w:t>〔2022〕73号</w:t>
            </w:r>
          </w:p>
        </w:tc>
        <w:tc>
          <w:tcPr>
            <w:tcW w:w="17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38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宋体" w:hAnsi="宋体" w:cs="宋体"/>
                <w:i w:val="0"/>
                <w:iCs w:val="0"/>
                <w:color w:val="000000"/>
                <w:sz w:val="20"/>
                <w:szCs w:val="20"/>
                <w:u w:val="none"/>
                <w:lang w:eastAsia="zh-CN"/>
              </w:rPr>
              <w:t>美合日古丽，依孜巴克</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31.15</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val="en-US" w:eastAsia="zh-CN"/>
              </w:rPr>
              <w:t>31.15</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38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08"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1.确保单位基本公共卫生服务项目临聘人员工资、津贴、福利等正常发放；
2.贯彻落实好自治区及地区对基本公共卫生服务项目工作的安排部署，提升基本公共卫生服务能力；加强健康教育宣传力度，提高广大人民群众的防病意识；完成自治区及地区下发疾病预防，基本公共卫生，基本医疗任务的各项指标，强化疫情监测和报告工作，规范各项防控工作；加强基本公共卫生服务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≥263853.45</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1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Pr>
          <w:p/>
        </w:tc>
        <w:tc>
          <w:tcPr>
            <w:tcW w:w="12" w:type="dxa"/>
          </w:tcPr>
          <w:p/>
        </w:tc>
      </w:tr>
    </w:tbl>
    <w:p>
      <w:pPr>
        <w:spacing w:before="150"/>
        <w:ind w:right="200" w:firstLine="643" w:firstLineChars="200"/>
        <w:jc w:val="both"/>
        <w:rPr>
          <w:rFonts w:hint="eastAsia" w:ascii="楷体_GB2312" w:hAnsi="楷体_GB2312" w:eastAsia="楷体_GB2312" w:cs="楷体_GB2312"/>
          <w:b/>
          <w:bCs/>
          <w:position w:val="20"/>
          <w:sz w:val="32"/>
          <w:szCs w:val="32"/>
          <w:lang w:eastAsia="zh-CN"/>
        </w:rPr>
      </w:pPr>
    </w:p>
    <w:p>
      <w:pPr>
        <w:spacing w:before="150"/>
        <w:ind w:right="200" w:firstLine="643" w:firstLineChars="2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lang w:eastAsia="zh-CN"/>
        </w:rPr>
        <w:t>（五）</w:t>
      </w:r>
      <w:r>
        <w:rPr>
          <w:rFonts w:hint="eastAsia" w:ascii="楷体_GB2312" w:hAnsi="楷体_GB2312" w:eastAsia="楷体_GB2312" w:cs="楷体_GB2312"/>
          <w:b/>
          <w:bCs/>
          <w:position w:val="20"/>
          <w:sz w:val="32"/>
          <w:szCs w:val="32"/>
        </w:rPr>
        <w:t>其他需说明的事项</w:t>
      </w:r>
    </w:p>
    <w:p>
      <w:pPr>
        <w:ind w:left="200" w:right="200" w:firstLine="500"/>
        <w:jc w:val="both"/>
        <w:rPr>
          <w:sz w:val="32"/>
          <w:szCs w:val="32"/>
        </w:rPr>
      </w:pPr>
      <w:r>
        <w:rPr>
          <w:rFonts w:hint="eastAsia" w:ascii="仿宋" w:hAnsi="仿宋" w:eastAsia="仿宋" w:cs="仿宋"/>
          <w:position w:val="10"/>
          <w:sz w:val="32"/>
          <w:szCs w:val="32"/>
          <w:lang w:eastAsia="zh-CN"/>
        </w:rPr>
        <w:t>无</w:t>
      </w:r>
      <w:r>
        <w:rPr>
          <w:rFonts w:ascii="仿宋" w:hAnsi="仿宋" w:eastAsia="仿宋" w:cs="仿宋"/>
          <w:position w:val="10"/>
          <w:sz w:val="32"/>
          <w:szCs w:val="32"/>
        </w:rPr>
        <w:t>其他需要说明的事项。</w:t>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3" w:firstLineChars="200"/>
        <w:jc w:val="both"/>
        <w:textAlignment w:val="auto"/>
        <w:outlineLvl w:val="9"/>
        <w:rPr>
          <w:rFonts w:hint="eastAsia" w:ascii="仿宋" w:hAnsi="仿宋" w:eastAsia="仿宋" w:cs="仿宋"/>
          <w:sz w:val="32"/>
          <w:szCs w:val="32"/>
        </w:rPr>
      </w:pPr>
      <w:r>
        <w:rPr>
          <w:rFonts w:hint="eastAsia" w:ascii="楷体_GB2312" w:hAnsi="楷体_GB2312" w:eastAsia="楷体_GB2312" w:cs="楷体_GB2312"/>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3" w:firstLineChars="200"/>
        <w:jc w:val="both"/>
        <w:textAlignment w:val="auto"/>
        <w:outlineLvl w:val="9"/>
        <w:rPr>
          <w:rFonts w:hint="eastAsia" w:ascii="仿宋" w:hAnsi="仿宋" w:eastAsia="仿宋" w:cs="仿宋"/>
          <w:sz w:val="32"/>
          <w:szCs w:val="32"/>
        </w:rPr>
      </w:pPr>
      <w:r>
        <w:rPr>
          <w:rFonts w:hint="eastAsia" w:ascii="楷体_GB2312" w:hAnsi="楷体_GB2312" w:eastAsia="楷体_GB2312" w:cs="楷体_GB2312"/>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3" w:firstLineChars="200"/>
        <w:jc w:val="both"/>
        <w:textAlignment w:val="auto"/>
        <w:outlineLvl w:val="9"/>
        <w:rPr>
          <w:rFonts w:hint="eastAsia" w:ascii="仿宋" w:hAnsi="仿宋" w:eastAsia="仿宋" w:cs="仿宋"/>
          <w:sz w:val="32"/>
          <w:szCs w:val="32"/>
        </w:rPr>
      </w:pPr>
      <w:r>
        <w:rPr>
          <w:rFonts w:hint="eastAsia" w:ascii="楷体_GB2312" w:hAnsi="楷体_GB2312" w:eastAsia="楷体_GB2312" w:cs="楷体_GB2312"/>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3" w:firstLineChars="200"/>
        <w:jc w:val="both"/>
        <w:textAlignment w:val="auto"/>
        <w:outlineLvl w:val="9"/>
        <w:rPr>
          <w:rFonts w:hint="eastAsia" w:ascii="仿宋" w:hAnsi="仿宋" w:eastAsia="仿宋" w:cs="仿宋"/>
          <w:sz w:val="32"/>
          <w:szCs w:val="32"/>
        </w:rPr>
      </w:pPr>
      <w:r>
        <w:rPr>
          <w:rFonts w:hint="eastAsia" w:ascii="楷体_GB2312" w:hAnsi="楷体_GB2312" w:eastAsia="楷体_GB2312" w:cs="楷体_GB2312"/>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3" w:firstLineChars="200"/>
        <w:jc w:val="both"/>
        <w:textAlignment w:val="auto"/>
        <w:outlineLvl w:val="9"/>
        <w:rPr>
          <w:rFonts w:hint="eastAsia" w:ascii="仿宋" w:hAnsi="仿宋" w:eastAsia="仿宋" w:cs="仿宋"/>
          <w:sz w:val="32"/>
          <w:szCs w:val="32"/>
        </w:rPr>
      </w:pPr>
      <w:r>
        <w:rPr>
          <w:rFonts w:hint="eastAsia" w:ascii="楷体_GB2312" w:hAnsi="楷体_GB2312" w:eastAsia="楷体_GB2312" w:cs="楷体_GB2312"/>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3" w:firstLineChars="200"/>
        <w:jc w:val="both"/>
        <w:textAlignment w:val="auto"/>
        <w:outlineLvl w:val="9"/>
        <w:rPr>
          <w:rFonts w:hint="eastAsia" w:ascii="仿宋" w:hAnsi="仿宋" w:eastAsia="仿宋" w:cs="仿宋"/>
          <w:sz w:val="32"/>
          <w:szCs w:val="32"/>
        </w:rPr>
      </w:pPr>
      <w:r>
        <w:rPr>
          <w:rFonts w:hint="eastAsia" w:ascii="楷体_GB2312" w:hAnsi="楷体_GB2312" w:eastAsia="楷体_GB2312" w:cs="楷体_GB2312"/>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3" w:firstLineChars="200"/>
        <w:jc w:val="both"/>
        <w:textAlignment w:val="auto"/>
        <w:outlineLvl w:val="9"/>
        <w:rPr>
          <w:rFonts w:hint="eastAsia" w:ascii="仿宋" w:hAnsi="仿宋" w:eastAsia="仿宋" w:cs="仿宋"/>
          <w:sz w:val="32"/>
          <w:szCs w:val="32"/>
        </w:rPr>
      </w:pPr>
      <w:r>
        <w:rPr>
          <w:rFonts w:hint="eastAsia" w:ascii="楷体_GB2312" w:hAnsi="楷体_GB2312" w:eastAsia="楷体_GB2312" w:cs="楷体_GB2312"/>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3" w:firstLineChars="200"/>
        <w:jc w:val="both"/>
        <w:textAlignment w:val="auto"/>
        <w:outlineLvl w:val="9"/>
        <w:rPr>
          <w:rFonts w:hint="eastAsia" w:ascii="仿宋" w:hAnsi="仿宋" w:eastAsia="仿宋" w:cs="仿宋"/>
          <w:sz w:val="32"/>
          <w:szCs w:val="32"/>
        </w:rPr>
      </w:pPr>
      <w:r>
        <w:rPr>
          <w:rFonts w:hint="eastAsia" w:ascii="楷体_GB2312" w:hAnsi="楷体_GB2312" w:eastAsia="楷体_GB2312" w:cs="楷体_GB2312"/>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640" w:firstLineChars="200"/>
        <w:jc w:val="right"/>
        <w:textAlignment w:val="auto"/>
        <w:outlineLvl w:val="9"/>
        <w:rPr>
          <w:rFonts w:hint="eastAsia" w:ascii="仿宋" w:hAnsi="仿宋" w:eastAsia="仿宋" w:cs="仿宋"/>
          <w:sz w:val="32"/>
          <w:szCs w:val="32"/>
        </w:rPr>
      </w:pPr>
      <w:r>
        <w:rPr>
          <w:rFonts w:hint="eastAsia" w:ascii="仿宋" w:hAnsi="仿宋" w:eastAsia="仿宋" w:cs="仿宋"/>
          <w:position w:val="10"/>
          <w:sz w:val="32"/>
          <w:szCs w:val="32"/>
        </w:rPr>
        <w:t>皮山县藏桂乡卫生院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right"/>
        <w:textAlignment w:val="auto"/>
        <w:outlineLvl w:val="9"/>
        <w:rPr>
          <w:rFonts w:hint="eastAsia" w:ascii="仿宋" w:hAnsi="仿宋" w:eastAsia="仿宋" w:cs="仿宋"/>
          <w:sz w:val="32"/>
          <w:szCs w:val="32"/>
        </w:rPr>
      </w:pPr>
      <w:bookmarkStart w:id="0" w:name="_GoBack"/>
      <w:bookmarkEnd w:id="0"/>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92B03"/>
    <w:rsid w:val="03346AE3"/>
    <w:rsid w:val="039F5BA6"/>
    <w:rsid w:val="048E7E05"/>
    <w:rsid w:val="06666E30"/>
    <w:rsid w:val="07030018"/>
    <w:rsid w:val="07800B87"/>
    <w:rsid w:val="08C24F20"/>
    <w:rsid w:val="0A5675BA"/>
    <w:rsid w:val="0BFD10C8"/>
    <w:rsid w:val="0C22588D"/>
    <w:rsid w:val="0CBD26DD"/>
    <w:rsid w:val="10FB771A"/>
    <w:rsid w:val="161220C2"/>
    <w:rsid w:val="186A5AD5"/>
    <w:rsid w:val="1D5A45F3"/>
    <w:rsid w:val="1DCA2B3B"/>
    <w:rsid w:val="1DE70DFA"/>
    <w:rsid w:val="1EB54E74"/>
    <w:rsid w:val="20ED5D10"/>
    <w:rsid w:val="21137556"/>
    <w:rsid w:val="233878B4"/>
    <w:rsid w:val="29641DBC"/>
    <w:rsid w:val="2CCB2FFD"/>
    <w:rsid w:val="2CED195A"/>
    <w:rsid w:val="2D7D0041"/>
    <w:rsid w:val="2DC22F96"/>
    <w:rsid w:val="30530526"/>
    <w:rsid w:val="317E5541"/>
    <w:rsid w:val="3384565D"/>
    <w:rsid w:val="38782757"/>
    <w:rsid w:val="3AF8572C"/>
    <w:rsid w:val="3C193214"/>
    <w:rsid w:val="3E134A92"/>
    <w:rsid w:val="3F3E7FEF"/>
    <w:rsid w:val="44F71F38"/>
    <w:rsid w:val="46EF0ECB"/>
    <w:rsid w:val="4A0A6627"/>
    <w:rsid w:val="4A267B48"/>
    <w:rsid w:val="4A4923FB"/>
    <w:rsid w:val="52FD3895"/>
    <w:rsid w:val="5371316D"/>
    <w:rsid w:val="543476A8"/>
    <w:rsid w:val="55800BB4"/>
    <w:rsid w:val="55D05088"/>
    <w:rsid w:val="56C51DFC"/>
    <w:rsid w:val="56F050B2"/>
    <w:rsid w:val="578942A7"/>
    <w:rsid w:val="5838617C"/>
    <w:rsid w:val="5A101128"/>
    <w:rsid w:val="5F9D7B46"/>
    <w:rsid w:val="60156230"/>
    <w:rsid w:val="603B00B0"/>
    <w:rsid w:val="621A0468"/>
    <w:rsid w:val="633D7840"/>
    <w:rsid w:val="63E65AD4"/>
    <w:rsid w:val="6A075A4F"/>
    <w:rsid w:val="6CC4237D"/>
    <w:rsid w:val="6D786DD1"/>
    <w:rsid w:val="6ED83DDC"/>
    <w:rsid w:val="74D6759D"/>
    <w:rsid w:val="75127B21"/>
    <w:rsid w:val="77F058A9"/>
    <w:rsid w:val="7BC664A5"/>
    <w:rsid w:val="7F7312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32</Pages>
  <Words>1326</Words>
  <Characters>1509</Characters>
  <TotalTime>11</TotalTime>
  <ScaleCrop>false</ScaleCrop>
  <LinksUpToDate>false</LinksUpToDate>
  <CharactersWithSpaces>1635</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2023-05-16T08:36:00Z</dcterms:created>
  <dc:creator>Apache POI</dc:creator>
  <cp:lastModifiedBy>Administrator</cp:lastModifiedBy>
  <dcterms:modified xsi:type="dcterms:W3CDTF">2025-07-23T02:48:08Z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CC7C666D541E4AABA083A115EDAAE794_12</vt:lpwstr>
  </property>
</Properties>
</file>